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noProof/>
          <w:color w:val="000000"/>
          <w:sz w:val="24"/>
          <w:szCs w:val="24"/>
        </w:rPr>
        <w:drawing>
          <wp:inline distT="0" distB="0" distL="0" distR="0">
            <wp:extent cx="417195" cy="53657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17195" cy="536575"/>
                    </a:xfrm>
                    <a:prstGeom prst="rect">
                      <a:avLst/>
                    </a:prstGeom>
                    <a:solidFill>
                      <a:srgbClr val="FFFFFF"/>
                    </a:solidFill>
                    <a:ln w="9525">
                      <a:noFill/>
                      <a:miter lim="800000"/>
                      <a:headEnd/>
                      <a:tailEnd/>
                    </a:ln>
                  </pic:spPr>
                </pic:pic>
              </a:graphicData>
            </a:graphic>
          </wp:inline>
        </w:drawing>
      </w:r>
    </w:p>
    <w:p w:rsidR="005A4110" w:rsidRDefault="005A4110" w:rsidP="005A4110">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РАЙГОРОДСЬКА  СІЛЬСЬКА  РАДА</w:t>
      </w:r>
    </w:p>
    <w:p w:rsidR="005A4110" w:rsidRDefault="005A4110" w:rsidP="005A4110">
      <w:pPr>
        <w:shd w:val="clear" w:color="auto" w:fill="FFFFFF"/>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bCs/>
          <w:color w:val="000000"/>
          <w:sz w:val="24"/>
          <w:szCs w:val="24"/>
          <w:lang w:val="uk-UA"/>
        </w:rPr>
        <w:t>СВАТІВСЬКОГО РАЙОНУ</w:t>
      </w:r>
    </w:p>
    <w:p w:rsidR="005A4110" w:rsidRDefault="005A4110" w:rsidP="005A4110">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uk-UA"/>
        </w:rPr>
        <w:tab/>
        <w:t xml:space="preserve">ДВАДЦЯТЬ ШОСТА </w:t>
      </w:r>
      <w:r>
        <w:rPr>
          <w:rFonts w:ascii="Times New Roman" w:eastAsia="Times New Roman" w:hAnsi="Times New Roman" w:cs="Times New Roman"/>
          <w:b/>
          <w:color w:val="000000"/>
          <w:sz w:val="24"/>
          <w:szCs w:val="24"/>
        </w:rPr>
        <w:t>СЕСІЯ</w:t>
      </w:r>
    </w:p>
    <w:p w:rsidR="005A4110" w:rsidRDefault="005A4110" w:rsidP="005A4110">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СЬОМОГО СКЛИКАННЯ</w:t>
      </w:r>
    </w:p>
    <w:p w:rsidR="005A4110" w:rsidRDefault="005A4110" w:rsidP="005A4110">
      <w:pPr>
        <w:shd w:val="clear" w:color="auto" w:fill="FFFFFF"/>
        <w:spacing w:after="0" w:line="240" w:lineRule="auto"/>
        <w:jc w:val="center"/>
        <w:rPr>
          <w:rFonts w:ascii="Times New Roman" w:eastAsia="Times New Roman" w:hAnsi="Times New Roman" w:cs="Times New Roman"/>
          <w:b/>
          <w:color w:val="000000"/>
          <w:sz w:val="24"/>
          <w:szCs w:val="24"/>
          <w:lang w:val="uk-UA"/>
        </w:rPr>
      </w:pPr>
      <w:proofErr w:type="gramStart"/>
      <w:r>
        <w:rPr>
          <w:rFonts w:ascii="Times New Roman" w:eastAsia="Times New Roman" w:hAnsi="Times New Roman" w:cs="Times New Roman"/>
          <w:b/>
          <w:color w:val="000000"/>
          <w:sz w:val="24"/>
          <w:szCs w:val="24"/>
        </w:rPr>
        <w:t>Р</w:t>
      </w:r>
      <w:proofErr w:type="gramEnd"/>
      <w:r>
        <w:rPr>
          <w:rFonts w:ascii="Times New Roman" w:eastAsia="Times New Roman" w:hAnsi="Times New Roman" w:cs="Times New Roman"/>
          <w:b/>
          <w:color w:val="000000"/>
          <w:sz w:val="24"/>
          <w:szCs w:val="24"/>
        </w:rPr>
        <w:t>ІШЕННЯ 2</w:t>
      </w:r>
      <w:r>
        <w:rPr>
          <w:rFonts w:ascii="Times New Roman" w:eastAsia="Times New Roman" w:hAnsi="Times New Roman" w:cs="Times New Roman"/>
          <w:b/>
          <w:color w:val="000000"/>
          <w:sz w:val="24"/>
          <w:szCs w:val="24"/>
          <w:lang w:val="uk-UA"/>
        </w:rPr>
        <w:t>6</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uk-UA"/>
        </w:rPr>
        <w:t>7</w:t>
      </w:r>
    </w:p>
    <w:p w:rsidR="005A4110" w:rsidRDefault="005A4110" w:rsidP="005A4110">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lang w:val="uk-UA"/>
        </w:rPr>
        <w:t>13 .07.</w:t>
      </w:r>
      <w:r>
        <w:rPr>
          <w:rFonts w:ascii="Times New Roman" w:eastAsia="Times New Roman" w:hAnsi="Times New Roman" w:cs="Times New Roman"/>
          <w:b/>
          <w:color w:val="000000"/>
          <w:sz w:val="24"/>
          <w:szCs w:val="24"/>
        </w:rPr>
        <w:t>2018 року                                                            </w:t>
      </w:r>
    </w:p>
    <w:p w:rsidR="005A4110" w:rsidRDefault="005A4110" w:rsidP="005A4110">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село Райгородка</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Про встановлення місцевих податків та зборів на 2019 </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ік.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Керуючись п.24 ч.1 ст.26 Закону України «Про місцеве самоврядування в Україні», Податковим кодексом України, Райгородська  сільська  рада</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ВИРІШИЛА:</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1.Встановити на території Райгородської сільської ради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Сватівського району ,Луганської області  наступні місцеві податки та збори на 2019 рік: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1.1.Транспортний податок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1.2..Єдиний податок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Затвердити: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Положення про транспортний податок на території  Райгородської сільської  ради (додаток 1);</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Положення про  єдиний податок на території Райгородської сільської ради  (додаток 2).</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Оприлюднити це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на офіційному сайті Сватівської районної  ради та на стенді в приміщенні  Райгородської сільської ради.</w:t>
      </w:r>
      <w:bookmarkStart w:id="0" w:name="_GoBack"/>
      <w:bookmarkEnd w:id="0"/>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Контроль за виконанням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покласти на постійну комісію з планування,  фінансів, бюджету та  соціально – економічного розвитку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набирає чинності з 01.01.2019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Т.в.о</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айгородського сільського голови</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Додаток № 1</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uk-UA"/>
        </w:rPr>
        <w:t xml:space="preserve"> до рішення 26 сесії</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Райгородської сільської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uk-UA"/>
        </w:rPr>
        <w:t>ради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сьомого скликання</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w:t>
      </w:r>
      <w:r>
        <w:rPr>
          <w:rFonts w:ascii="Times New Roman" w:eastAsia="Times New Roman" w:hAnsi="Times New Roman" w:cs="Times New Roman"/>
          <w:color w:val="000000"/>
          <w:sz w:val="24"/>
          <w:szCs w:val="24"/>
          <w:lang w:val="uk-UA"/>
        </w:rPr>
        <w:t>13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07.</w:t>
      </w:r>
      <w:r>
        <w:rPr>
          <w:rFonts w:ascii="Times New Roman" w:eastAsia="Times New Roman" w:hAnsi="Times New Roman" w:cs="Times New Roman"/>
          <w:color w:val="000000"/>
          <w:sz w:val="24"/>
          <w:szCs w:val="24"/>
        </w:rPr>
        <w:t xml:space="preserve">2018р. №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Положення</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транспортний податок на території Райгородської сільської ради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Положення про встановлення </w:t>
      </w:r>
      <w:proofErr w:type="gramStart"/>
      <w:r>
        <w:rPr>
          <w:rFonts w:ascii="Times New Roman" w:eastAsia="Times New Roman" w:hAnsi="Times New Roman" w:cs="Times New Roman"/>
          <w:color w:val="000000"/>
          <w:sz w:val="24"/>
          <w:szCs w:val="24"/>
        </w:rPr>
        <w:t>транспортного</w:t>
      </w:r>
      <w:proofErr w:type="gramEnd"/>
      <w:r>
        <w:rPr>
          <w:rFonts w:ascii="Times New Roman" w:eastAsia="Times New Roman" w:hAnsi="Times New Roman" w:cs="Times New Roman"/>
          <w:color w:val="000000"/>
          <w:sz w:val="24"/>
          <w:szCs w:val="24"/>
        </w:rPr>
        <w:t xml:space="preserve"> податку на території Райгородської сільської  ради  (далі – Положення) розроблено відповідно до Податкового кодексу України та є обов’язковим до виконання юридичними та фізичними особами на території Райгородської  громади.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Транспортний податок – обов’язковий платіж у складі податку на майно</w:t>
      </w:r>
      <w:r>
        <w:rPr>
          <w:rFonts w:ascii="Times New Roman" w:eastAsia="Times New Roman" w:hAnsi="Times New Roman" w:cs="Times New Roman"/>
          <w:color w:val="000000"/>
          <w:sz w:val="24"/>
          <w:szCs w:val="24"/>
        </w:rPr>
        <w:t xml:space="preserve">, що </w:t>
      </w:r>
      <w:proofErr w:type="gramStart"/>
      <w:r>
        <w:rPr>
          <w:rFonts w:ascii="Times New Roman" w:eastAsia="Times New Roman" w:hAnsi="Times New Roman" w:cs="Times New Roman"/>
          <w:color w:val="000000"/>
          <w:sz w:val="24"/>
          <w:szCs w:val="24"/>
        </w:rPr>
        <w:t>справляється</w:t>
      </w:r>
      <w:proofErr w:type="gramEnd"/>
      <w:r>
        <w:rPr>
          <w:rFonts w:ascii="Times New Roman" w:eastAsia="Times New Roman" w:hAnsi="Times New Roman" w:cs="Times New Roman"/>
          <w:color w:val="000000"/>
          <w:sz w:val="24"/>
          <w:szCs w:val="24"/>
        </w:rPr>
        <w:t xml:space="preserve"> у формі транспортного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1.1.Платникики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Платниками </w:t>
      </w:r>
      <w:proofErr w:type="gramStart"/>
      <w:r>
        <w:rPr>
          <w:rFonts w:ascii="Times New Roman" w:eastAsia="Times New Roman" w:hAnsi="Times New Roman" w:cs="Times New Roman"/>
          <w:color w:val="000000"/>
          <w:sz w:val="24"/>
          <w:szCs w:val="24"/>
        </w:rPr>
        <w:t>транспортного</w:t>
      </w:r>
      <w:proofErr w:type="gramEnd"/>
      <w:r>
        <w:rPr>
          <w:rFonts w:ascii="Times New Roman" w:eastAsia="Times New Roman" w:hAnsi="Times New Roman" w:cs="Times New Roman"/>
          <w:color w:val="000000"/>
          <w:sz w:val="24"/>
          <w:szCs w:val="24"/>
        </w:rPr>
        <w:t xml:space="preserve"> податку є фізичні та юридичні особи, в тому числі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нерезиденти, зареєстровані в Україні згідно з чинним законодавством, які мають власні легкові автомобілі, що 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об’єктами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2.2. Об’єкт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ів мінімальної заробітної плати, встановленої законом на 1 січня податкового (звітного)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Така вартість визначається центральним органом виконавчої влади, що забезпечує</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та реалізує державну політику економічного, </w:t>
      </w:r>
      <w:proofErr w:type="gramStart"/>
      <w:r>
        <w:rPr>
          <w:rFonts w:ascii="Times New Roman" w:eastAsia="Times New Roman" w:hAnsi="Times New Roman" w:cs="Times New Roman"/>
          <w:color w:val="000000"/>
          <w:sz w:val="24"/>
          <w:szCs w:val="24"/>
        </w:rPr>
        <w:t>соц</w:t>
      </w:r>
      <w:proofErr w:type="gramEnd"/>
      <w:r>
        <w:rPr>
          <w:rFonts w:ascii="Times New Roman" w:eastAsia="Times New Roman" w:hAnsi="Times New Roman" w:cs="Times New Roman"/>
          <w:color w:val="000000"/>
          <w:sz w:val="24"/>
          <w:szCs w:val="24"/>
        </w:rPr>
        <w:t>іального розвитку і торгівлі,за методикою, затвердженою Кабінетом Міністрів України, станом на 1 січня податкового(звітного) року виходячи з марки, моделі, року випуску, об’єму циліндрів двигуна, типу пального";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w:t>
      </w:r>
      <w:proofErr w:type="gramStart"/>
      <w:r>
        <w:rPr>
          <w:rFonts w:ascii="Times New Roman" w:eastAsia="Times New Roman" w:hAnsi="Times New Roman" w:cs="Times New Roman"/>
          <w:color w:val="000000"/>
          <w:sz w:val="24"/>
          <w:szCs w:val="24"/>
        </w:rPr>
        <w:t>соц</w:t>
      </w:r>
      <w:proofErr w:type="gramEnd"/>
      <w:r>
        <w:rPr>
          <w:rFonts w:ascii="Times New Roman" w:eastAsia="Times New Roman" w:hAnsi="Times New Roman" w:cs="Times New Roman"/>
          <w:color w:val="000000"/>
          <w:sz w:val="24"/>
          <w:szCs w:val="24"/>
        </w:rPr>
        <w:t>іального розвиткуі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ів мінімальної заробітної плати, встановленої законом на 1 січня податкового (звітного) року, який повинен містити такі дані щодо цих автомобілів: марка,модель, рік випуску, об’єм циліндрів двигуна, тип пального.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База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Базою оподаткування є легковий автомобіль, що є об’єктом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Ставка податку встановлюється з розрахунку на календарний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у розмірі 25 000</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гривень за кожен легковий автомобіль, що є об’єктом оподаткування 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2.5. Податковий період</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Базовий податковий (звітний) період дорівнює календарному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2.6. Порядок обчислення та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2.6.1. Обчислення суми податку з об’єкта/об’єктів оподаткування фізичних </w:t>
      </w:r>
      <w:proofErr w:type="gramStart"/>
      <w:r>
        <w:rPr>
          <w:rFonts w:ascii="Times New Roman" w:eastAsia="Times New Roman" w:hAnsi="Times New Roman" w:cs="Times New Roman"/>
          <w:color w:val="000000"/>
          <w:sz w:val="24"/>
          <w:szCs w:val="24"/>
        </w:rPr>
        <w:t>осіб</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здійснюється контролюючим органом за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ісцем реєстрації платника податку відповідно до п.п. 267.6 статті 267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w:t>
      </w:r>
      <w:r>
        <w:rPr>
          <w:rFonts w:ascii="Times New Roman" w:eastAsia="Times New Roman" w:hAnsi="Times New Roman" w:cs="Times New Roman"/>
          <w:color w:val="000000"/>
          <w:sz w:val="24"/>
          <w:szCs w:val="24"/>
        </w:rPr>
        <w:lastRenderedPageBreak/>
        <w:t>порядку</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ередбаченому статтею 46 Податкового кодексу України, з розбивкою річної суми рівними частками поквартально.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Щодо об’єктів оподаткування, придбаних протягом року, декларація юридичною особою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2.6.3. </w:t>
      </w:r>
      <w:proofErr w:type="gramStart"/>
      <w:r>
        <w:rPr>
          <w:rFonts w:ascii="Times New Roman" w:eastAsia="Times New Roman" w:hAnsi="Times New Roman" w:cs="Times New Roman"/>
          <w:color w:val="000000"/>
          <w:sz w:val="24"/>
          <w:szCs w:val="24"/>
        </w:rPr>
        <w:t>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w:t>
      </w:r>
      <w:proofErr w:type="gramEnd"/>
      <w:r>
        <w:rPr>
          <w:rFonts w:ascii="Times New Roman" w:eastAsia="Times New Roman" w:hAnsi="Times New Roman" w:cs="Times New Roman"/>
          <w:color w:val="000000"/>
          <w:sz w:val="24"/>
          <w:szCs w:val="24"/>
        </w:rPr>
        <w:t>ін набув право власності на цей об’єкт.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Контролюючий орган надсилає податкове повідомлення-рішення новому власнику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ісля отримання інформації про перехід права власності.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2.6.4.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об’єкти оподаткування, придбані протягом року, податок сплачується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пропорційно кількості місяців, які залишилися до кінця року, починаючи з місяця, в якому проведено реєстрацію транспортного засобу.</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2.6.5.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раз</w:t>
      </w:r>
      <w:proofErr w:type="gramEnd"/>
      <w:r>
        <w:rPr>
          <w:rFonts w:ascii="Times New Roman" w:eastAsia="Times New Roman" w:hAnsi="Times New Roman" w:cs="Times New Roman"/>
          <w:color w:val="000000"/>
          <w:sz w:val="24"/>
          <w:szCs w:val="24"/>
        </w:rPr>
        <w:t>і спливу п’ятирічного віку легкового автомобіля протягом звітного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податок сплачується за період з 1 січня цього року до початку місяця, наступного за місяцем, в якому вік такого автомобіля досяг (досягне) </w:t>
      </w:r>
      <w:proofErr w:type="gramStart"/>
      <w:r>
        <w:rPr>
          <w:rFonts w:ascii="Times New Roman" w:eastAsia="Times New Roman" w:hAnsi="Times New Roman" w:cs="Times New Roman"/>
          <w:color w:val="000000"/>
          <w:sz w:val="24"/>
          <w:szCs w:val="24"/>
        </w:rPr>
        <w:t>п’яти</w:t>
      </w:r>
      <w:proofErr w:type="gramEnd"/>
      <w:r>
        <w:rPr>
          <w:rFonts w:ascii="Times New Roman" w:eastAsia="Times New Roman" w:hAnsi="Times New Roman" w:cs="Times New Roman"/>
          <w:color w:val="000000"/>
          <w:sz w:val="24"/>
          <w:szCs w:val="24"/>
        </w:rPr>
        <w:t xml:space="preserve"> років.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2.6.6. У разі </w:t>
      </w:r>
      <w:proofErr w:type="gramStart"/>
      <w:r>
        <w:rPr>
          <w:rFonts w:ascii="Times New Roman" w:eastAsia="Times New Roman" w:hAnsi="Times New Roman" w:cs="Times New Roman"/>
          <w:color w:val="000000"/>
          <w:sz w:val="24"/>
          <w:szCs w:val="24"/>
        </w:rPr>
        <w:t>незаконного</w:t>
      </w:r>
      <w:proofErr w:type="gramEnd"/>
      <w:r>
        <w:rPr>
          <w:rFonts w:ascii="Times New Roman" w:eastAsia="Times New Roman" w:hAnsi="Times New Roman" w:cs="Times New Roman"/>
          <w:color w:val="000000"/>
          <w:sz w:val="24"/>
          <w:szCs w:val="24"/>
        </w:rPr>
        <w:t xml:space="preserve"> заволодіння третьою особою легковим автомобілем, який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об’єктом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транспортний податок за такий легковий автомобіль не сплачується з місяця, наступного замісяцем, в якому мав місце факт незаконного заволодіння легковим автомобілем, якщо такий факт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суду. Платник податку зобов’язаний надати контролюючому органу копію такої постанови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протягом 10днів з моменту отримання.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2.6.8. У разі </w:t>
      </w:r>
      <w:proofErr w:type="gramStart"/>
      <w:r>
        <w:rPr>
          <w:rFonts w:ascii="Times New Roman" w:eastAsia="Times New Roman" w:hAnsi="Times New Roman" w:cs="Times New Roman"/>
          <w:color w:val="000000"/>
          <w:sz w:val="24"/>
          <w:szCs w:val="24"/>
        </w:rPr>
        <w:t>незаконного</w:t>
      </w:r>
      <w:proofErr w:type="gramEnd"/>
      <w:r>
        <w:rPr>
          <w:rFonts w:ascii="Times New Roman" w:eastAsia="Times New Roman" w:hAnsi="Times New Roman" w:cs="Times New Roman"/>
          <w:color w:val="000000"/>
          <w:sz w:val="24"/>
          <w:szCs w:val="24"/>
        </w:rPr>
        <w:t xml:space="preserve"> заволодіння третьою особою легковим автомобілем, який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раз</w:t>
      </w:r>
      <w:proofErr w:type="gramEnd"/>
      <w:r>
        <w:rPr>
          <w:rFonts w:ascii="Times New Roman" w:eastAsia="Times New Roman" w:hAnsi="Times New Roman" w:cs="Times New Roman"/>
          <w:color w:val="000000"/>
          <w:sz w:val="24"/>
          <w:szCs w:val="24"/>
        </w:rPr>
        <w:t>і повернення легкового автомобіля його власнику уточнююча декларація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юридичною особою - платником податку </w:t>
      </w:r>
      <w:proofErr w:type="gramStart"/>
      <w:r>
        <w:rPr>
          <w:rFonts w:ascii="Times New Roman" w:eastAsia="Times New Roman" w:hAnsi="Times New Roman" w:cs="Times New Roman"/>
          <w:color w:val="000000"/>
          <w:sz w:val="24"/>
          <w:szCs w:val="24"/>
        </w:rPr>
        <w:t>подається</w:t>
      </w:r>
      <w:proofErr w:type="gramEnd"/>
      <w:r>
        <w:rPr>
          <w:rFonts w:ascii="Times New Roman" w:eastAsia="Times New Roman" w:hAnsi="Times New Roman" w:cs="Times New Roman"/>
          <w:color w:val="000000"/>
          <w:sz w:val="24"/>
          <w:szCs w:val="24"/>
        </w:rPr>
        <w:t xml:space="preserve"> протягом 30 календарних днів з дня складання постанови слідчого, прокурора чи винесення ухвали суду.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2.7. Порядок: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Податок сплачується за місцем реєстрації об’єктів оподаткування і зараховується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відповідного бюджету згідно з положеннями Бюджетного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2.8. Строки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Транспортний податок сплачується: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фізичними особами - протягом 60 днів з дня вручення податкового повідомлення-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юридичними особами - авансовими внесками щокварталу до 30 числа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ісяця, що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наступає за звітним кварталом, які відображаються в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ічній податковій декларації".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Т.в.о</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айгородського  сільського голови</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Додаток № 2</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2</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 xml:space="preserve"> сесії</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Райгородської сільської ради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сьомого скликання</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від1</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uk-UA"/>
        </w:rPr>
        <w:t>7</w:t>
      </w:r>
      <w:r>
        <w:rPr>
          <w:rFonts w:ascii="Times New Roman" w:eastAsia="Times New Roman" w:hAnsi="Times New Roman" w:cs="Times New Roman"/>
          <w:color w:val="000000"/>
          <w:sz w:val="24"/>
          <w:szCs w:val="24"/>
        </w:rPr>
        <w:t xml:space="preserve">.2018 р.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ПОЛОЖЕННЯ</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єдиний податок на території Райгородської сільської  ради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Положення про встановлення єдиного податку на території сільської </w:t>
      </w:r>
      <w:proofErr w:type="gramStart"/>
      <w:r>
        <w:rPr>
          <w:rFonts w:ascii="Times New Roman" w:eastAsia="Times New Roman" w:hAnsi="Times New Roman" w:cs="Times New Roman"/>
          <w:color w:val="000000"/>
          <w:sz w:val="24"/>
          <w:szCs w:val="24"/>
        </w:rPr>
        <w:t>ради</w:t>
      </w:r>
      <w:proofErr w:type="gramEnd"/>
      <w:r>
        <w:rPr>
          <w:rFonts w:ascii="Times New Roman" w:eastAsia="Times New Roman" w:hAnsi="Times New Roman" w:cs="Times New Roman"/>
          <w:color w:val="000000"/>
          <w:sz w:val="24"/>
          <w:szCs w:val="24"/>
        </w:rPr>
        <w:t>  (далі – Положення) розроблено відповідно до Податкового кодексу України та є обов’язковим до виконання  на території  Райгородської  громади.</w:t>
      </w:r>
    </w:p>
    <w:p w:rsidR="005A4110" w:rsidRDefault="005A4110" w:rsidP="005A411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Платники податку</w:t>
      </w: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Суб'єкти господарювання, які застосовують спрощену систему оподаткування, </w:t>
      </w:r>
      <w:proofErr w:type="gramStart"/>
      <w:r>
        <w:rPr>
          <w:rFonts w:ascii="Times New Roman" w:eastAsia="Times New Roman" w:hAnsi="Times New Roman" w:cs="Times New Roman"/>
          <w:color w:val="000000"/>
          <w:sz w:val="24"/>
          <w:szCs w:val="24"/>
        </w:rPr>
        <w:t>обл</w:t>
      </w:r>
      <w:proofErr w:type="gramEnd"/>
      <w:r>
        <w:rPr>
          <w:rFonts w:ascii="Times New Roman" w:eastAsia="Times New Roman" w:hAnsi="Times New Roman" w:cs="Times New Roman"/>
          <w:color w:val="000000"/>
          <w:sz w:val="24"/>
          <w:szCs w:val="24"/>
        </w:rPr>
        <w:t>іку та звітності, поділяються на такі групи платників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перша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не використовують працю найманих осіб, здійснюють виключно роздрібний продаж товарів з торговельних місць на ринках та/або прово  дять господарську діяльність з надання побутових послуг населенню і обсяг доходу яких протягом календарного року не перевищує 300000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друга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використовують працю найманих </w:t>
      </w:r>
      <w:proofErr w:type="gramStart"/>
      <w:r>
        <w:rPr>
          <w:rFonts w:ascii="Times New Roman" w:eastAsia="Times New Roman" w:hAnsi="Times New Roman" w:cs="Times New Roman"/>
          <w:color w:val="000000"/>
          <w:sz w:val="24"/>
          <w:szCs w:val="24"/>
        </w:rPr>
        <w:t>осіб</w:t>
      </w:r>
      <w:proofErr w:type="gramEnd"/>
      <w:r>
        <w:rPr>
          <w:rFonts w:ascii="Times New Roman" w:eastAsia="Times New Roman" w:hAnsi="Times New Roman" w:cs="Times New Roman"/>
          <w:color w:val="000000"/>
          <w:sz w:val="24"/>
          <w:szCs w:val="24"/>
        </w:rPr>
        <w:t xml:space="preserve"> або кількість осіб, які перебувають з ними у трудових відносинах, одночасно не перевищує 10 осіб;</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доходу не перевищує 1500000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третя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четверта група - сільськогосподарські товаровиробники, у яких частка сільськогосподарського товаровиробництва за попередній податковий (звітний)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дорівнює або перевищує 75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При   розрахунку   загальної   кількості  осіб,  які перебувають у трудових відносинах з платником  єдиного  податку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розрахунку середньооблі</w:t>
      </w:r>
      <w:proofErr w:type="gramStart"/>
      <w:r>
        <w:rPr>
          <w:rFonts w:ascii="Times New Roman" w:eastAsia="Times New Roman" w:hAnsi="Times New Roman" w:cs="Times New Roman"/>
          <w:color w:val="000000"/>
          <w:sz w:val="24"/>
          <w:szCs w:val="24"/>
        </w:rPr>
        <w:t>кової к</w:t>
      </w:r>
      <w:proofErr w:type="gramEnd"/>
      <w:r>
        <w:rPr>
          <w:rFonts w:ascii="Times New Roman" w:eastAsia="Times New Roman" w:hAnsi="Times New Roman" w:cs="Times New Roman"/>
          <w:color w:val="000000"/>
          <w:sz w:val="24"/>
          <w:szCs w:val="24"/>
        </w:rPr>
        <w:t>ількості працівників застосовується визначення Податкового кодексу України 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Не можуть бути платниками єдиного податку першо</w:t>
      </w:r>
      <w:proofErr w:type="gramStart"/>
      <w:r>
        <w:rPr>
          <w:rFonts w:ascii="Times New Roman" w:eastAsia="Times New Roman" w:hAnsi="Times New Roman" w:cs="Times New Roman"/>
          <w:b/>
          <w:bCs/>
          <w:color w:val="000000"/>
          <w:sz w:val="24"/>
          <w:szCs w:val="24"/>
        </w:rPr>
        <w:t>ї-</w:t>
      </w:r>
      <w:proofErr w:type="gramEnd"/>
      <w:r>
        <w:rPr>
          <w:rFonts w:ascii="Times New Roman" w:eastAsia="Times New Roman" w:hAnsi="Times New Roman" w:cs="Times New Roman"/>
          <w:b/>
          <w:bCs/>
          <w:color w:val="000000"/>
          <w:sz w:val="24"/>
          <w:szCs w:val="24"/>
        </w:rPr>
        <w:t>третьої груп:</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(юридичні особи та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діяльність з організації, проведення азартних ігор, лотерей (крім розповсюдження лотерей), парі (букмекерське парі, парі тоталізатора);</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обмініноземної валюти;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виробництво, експорт, імпорт, продаж підакцизних товарів (крім роздрібного продажу паливно-мастильних матеріалів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ємностях до 20 літрів та діяльності фізичних осіб, пов'язаної з роздрібним продажем пива та столових 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видобуток, виробництво, реалізацію дорогоцінних металів і дорогоцінного каміння, у тому числі </w:t>
      </w:r>
      <w:proofErr w:type="gramStart"/>
      <w:r>
        <w:rPr>
          <w:rFonts w:ascii="Times New Roman" w:eastAsia="Times New Roman" w:hAnsi="Times New Roman" w:cs="Times New Roman"/>
          <w:color w:val="000000"/>
          <w:sz w:val="24"/>
          <w:szCs w:val="24"/>
        </w:rPr>
        <w:t>органогенного</w:t>
      </w:r>
      <w:proofErr w:type="gramEnd"/>
      <w:r>
        <w:rPr>
          <w:rFonts w:ascii="Times New Roman" w:eastAsia="Times New Roman" w:hAnsi="Times New Roman" w:cs="Times New Roman"/>
          <w:color w:val="000000"/>
          <w:sz w:val="24"/>
          <w:szCs w:val="24"/>
        </w:rPr>
        <w:t xml:space="preserve"> утворення (крім виробництва, постачання, продажу (реалізації)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видобуток, реалізацію корисних копалин, крім реалізації корисних копалин місцевого значення;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діяльність у сфері фінансового посередництва, крім діяльності у сфері страхування, яка здійснюється страховими агентами, визначеними </w:t>
      </w:r>
      <w:hyperlink r:id="rId6" w:tgtFrame="_blank" w:history="1">
        <w:r>
          <w:rPr>
            <w:rStyle w:val="a3"/>
            <w:rFonts w:ascii="Times New Roman" w:eastAsia="Times New Roman" w:hAnsi="Times New Roman" w:cs="Times New Roman"/>
            <w:color w:val="333366"/>
            <w:sz w:val="24"/>
            <w:szCs w:val="24"/>
            <w:u w:val="none"/>
          </w:rPr>
          <w:t>Законом України "Про страхування"</w:t>
        </w:r>
      </w:hyperlink>
      <w:r>
        <w:rPr>
          <w:rFonts w:ascii="Times New Roman" w:eastAsia="Times New Roman" w:hAnsi="Times New Roman" w:cs="Times New Roman"/>
          <w:color w:val="000000"/>
          <w:sz w:val="24"/>
          <w:szCs w:val="24"/>
        </w:rPr>
        <w:t>, сюрвейєрами, аварійними комісарами та аджастерами, визначеними </w:t>
      </w:r>
      <w:hyperlink r:id="rId7" w:anchor="n2502" w:history="1">
        <w:r>
          <w:rPr>
            <w:rStyle w:val="a3"/>
            <w:rFonts w:ascii="Times New Roman" w:eastAsia="Times New Roman" w:hAnsi="Times New Roman" w:cs="Times New Roman"/>
            <w:color w:val="333366"/>
            <w:sz w:val="24"/>
            <w:szCs w:val="24"/>
            <w:u w:val="none"/>
          </w:rPr>
          <w:t>розділом III</w:t>
        </w:r>
      </w:hyperlink>
      <w:r>
        <w:rPr>
          <w:rFonts w:ascii="Times New Roman" w:eastAsia="Times New Roman" w:hAnsi="Times New Roman" w:cs="Times New Roman"/>
          <w:color w:val="000000"/>
          <w:sz w:val="24"/>
          <w:szCs w:val="24"/>
        </w:rPr>
        <w:t>.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bookmarkStart w:id="1" w:name="n6983"/>
      <w:bookmarkEnd w:id="1"/>
      <w:r>
        <w:rPr>
          <w:rFonts w:ascii="Times New Roman" w:eastAsia="Times New Roman" w:hAnsi="Times New Roman" w:cs="Times New Roman"/>
          <w:color w:val="000000"/>
          <w:sz w:val="24"/>
          <w:szCs w:val="24"/>
        </w:rPr>
        <w:t xml:space="preserve">7) діяльність з управління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ідприємствами;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діяльність з надання послуг пошти (крім кур'єрської діяльності) та зв'язку (крім діяльності, що не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ідлягає ліцензуванню);</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діяльність з організації, проведення гастрольних заході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технічні випробування та дослідження (група 74.3 КВЕД ДК 009:2005), діяльність у сфері аудиту;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 </w:t>
      </w:r>
      <w:r>
        <w:rPr>
          <w:rFonts w:ascii="Times New Roman" w:eastAsia="Times New Roman" w:hAnsi="Times New Roman" w:cs="Times New Roman"/>
          <w:color w:val="000000"/>
          <w:sz w:val="24"/>
          <w:szCs w:val="24"/>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у </w:t>
      </w:r>
      <w:proofErr w:type="gramStart"/>
      <w:r>
        <w:rPr>
          <w:rFonts w:ascii="Times New Roman" w:eastAsia="Times New Roman" w:hAnsi="Times New Roman" w:cs="Times New Roman"/>
          <w:color w:val="000000"/>
          <w:sz w:val="24"/>
          <w:szCs w:val="24"/>
        </w:rPr>
        <w:t>статутному</w:t>
      </w:r>
      <w:proofErr w:type="gramEnd"/>
      <w:r>
        <w:rPr>
          <w:rFonts w:ascii="Times New Roman" w:eastAsia="Times New Roman" w:hAnsi="Times New Roman" w:cs="Times New Roman"/>
          <w:color w:val="000000"/>
          <w:sz w:val="24"/>
          <w:szCs w:val="24"/>
        </w:rPr>
        <w:t xml:space="preserve"> капіталі яких сукупність часток, що належать юридичним особам, які не є платниками єдиного податку, дорівнює або перевищує 25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представництва, філії, відділення та інші відокремлені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ідрозділи юридичної особи, яка не є платником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фізичні та юридичні особи - нерезиденти;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-платники податку,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1.2. Не можуть бути платниками єдиного податку четвертої групи: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w:t>
      </w:r>
      <w:proofErr w:type="gramEnd"/>
      <w:r>
        <w:rPr>
          <w:rFonts w:ascii="Times New Roman" w:eastAsia="Times New Roman" w:hAnsi="Times New Roman" w:cs="Times New Roman"/>
          <w:color w:val="000000"/>
          <w:sz w:val="24"/>
          <w:szCs w:val="24"/>
        </w:rPr>
        <w:t xml:space="preserve"> їх переробки), диких тварин і птахів, хутряних виробів і хутра (крім хутрової сировини);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що провадять діяльність з виробництва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 господарювання, який станом на 1 січня </w:t>
      </w:r>
      <w:proofErr w:type="gramStart"/>
      <w:r>
        <w:rPr>
          <w:rFonts w:ascii="Times New Roman" w:eastAsia="Times New Roman" w:hAnsi="Times New Roman" w:cs="Times New Roman"/>
          <w:color w:val="000000"/>
          <w:sz w:val="24"/>
          <w:szCs w:val="24"/>
        </w:rPr>
        <w:t>базового</w:t>
      </w:r>
      <w:proofErr w:type="gramEnd"/>
      <w:r>
        <w:rPr>
          <w:rFonts w:ascii="Times New Roman" w:eastAsia="Times New Roman" w:hAnsi="Times New Roman" w:cs="Times New Roman"/>
          <w:color w:val="000000"/>
          <w:sz w:val="24"/>
          <w:szCs w:val="24"/>
        </w:rPr>
        <w:t xml:space="preserve">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технічні випробування та дослідження (група 74.3 КВЕД ДК 009:2005), діяльність у сфері аудиту;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bookmarkStart w:id="2" w:name="n6989"/>
      <w:bookmarkEnd w:id="2"/>
      <w:r>
        <w:rPr>
          <w:rFonts w:ascii="Times New Roman" w:eastAsia="Times New Roman" w:hAnsi="Times New Roman" w:cs="Times New Roman"/>
          <w:color w:val="000000"/>
          <w:sz w:val="24"/>
          <w:szCs w:val="24"/>
        </w:rPr>
        <w:t xml:space="preserve">-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lastRenderedPageBreak/>
        <w:t>-</w:t>
      </w:r>
      <w:r>
        <w:rPr>
          <w:rFonts w:ascii="Times New Roman" w:eastAsia="Times New Roman" w:hAnsi="Times New Roman" w:cs="Times New Roman"/>
          <w:color w:val="000000"/>
          <w:sz w:val="24"/>
          <w:szCs w:val="24"/>
        </w:rPr>
        <w:t>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у </w:t>
      </w:r>
      <w:proofErr w:type="gramStart"/>
      <w:r>
        <w:rPr>
          <w:rFonts w:ascii="Times New Roman" w:eastAsia="Times New Roman" w:hAnsi="Times New Roman" w:cs="Times New Roman"/>
          <w:color w:val="000000"/>
          <w:sz w:val="24"/>
          <w:szCs w:val="24"/>
        </w:rPr>
        <w:t>статутному</w:t>
      </w:r>
      <w:proofErr w:type="gramEnd"/>
      <w:r>
        <w:rPr>
          <w:rFonts w:ascii="Times New Roman" w:eastAsia="Times New Roman" w:hAnsi="Times New Roman" w:cs="Times New Roman"/>
          <w:color w:val="000000"/>
          <w:sz w:val="24"/>
          <w:szCs w:val="24"/>
        </w:rPr>
        <w:t xml:space="preserve"> капіталі яких сукупність часток, що належать юридичним особам, які не є платниками єдиного податку, дорівнює або перевищує 25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представництва, філії, відділення та інші відокремлені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ідрозділи юридичної особи, яка не є платником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фізичні та юридичні особи - нерезиденти;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color w:val="000000"/>
          <w:sz w:val="24"/>
          <w:szCs w:val="24"/>
        </w:rPr>
        <w:t xml:space="preserve"> Платники єдиного податку першої - третьої груп повинні здійснювати розрахунки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відвантажені товари (виконані роботи, надані послуги) виключно в грошовій формі (готівковій та/або безготівковій).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 побутовими послугами населенню, які надаються першою та другою групами платників єдиного податку, розуміються такі види послуг:</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виготовлення взуття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послуги з ремонту взуття;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виготовлення швейних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виготовлення виробів із шкі</w:t>
      </w:r>
      <w:proofErr w:type="gramStart"/>
      <w:r>
        <w:rPr>
          <w:rFonts w:ascii="Times New Roman" w:eastAsia="Times New Roman" w:hAnsi="Times New Roman" w:cs="Times New Roman"/>
          <w:color w:val="000000"/>
          <w:sz w:val="24"/>
          <w:szCs w:val="24"/>
        </w:rPr>
        <w:t>ри за</w:t>
      </w:r>
      <w:proofErr w:type="gramEnd"/>
      <w:r>
        <w:rPr>
          <w:rFonts w:ascii="Times New Roman" w:eastAsia="Times New Roman" w:hAnsi="Times New Roman" w:cs="Times New Roman"/>
          <w:color w:val="000000"/>
          <w:sz w:val="24"/>
          <w:szCs w:val="24"/>
        </w:rPr>
        <w:t xml:space="preserve">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виготовлення виробів з хутра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виготовлення спіднього одягу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виготовлення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текстильної галантереї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виготовлення головних уборі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додаткові послуги до виготовлення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послуги з ремонту одягу та побутових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виготовлення та в'язання трикотажних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послуги з ремонту трикотажних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виготовлення килимі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килимових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послуги з ремонту та реставрації килимі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килимових виробів;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виготовлення шкіряних галантерейних та дорожніх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послуги з ремонту шкіряних галантерейних та дорожніх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виготовлення меблів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послуги з ремонту, реставрації та поновлення меблі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виготовлення теслярських та столярних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технічне обслуговування та ремонт автомобілів, мотоциклів, моторолерів і мопеді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послуги з ремонту радіотелевізійної та іншої </w:t>
      </w:r>
      <w:proofErr w:type="gramStart"/>
      <w:r>
        <w:rPr>
          <w:rFonts w:ascii="Times New Roman" w:eastAsia="Times New Roman" w:hAnsi="Times New Roman" w:cs="Times New Roman"/>
          <w:color w:val="000000"/>
          <w:sz w:val="24"/>
          <w:szCs w:val="24"/>
        </w:rPr>
        <w:t>ауд</w:t>
      </w:r>
      <w:proofErr w:type="gramEnd"/>
      <w:r>
        <w:rPr>
          <w:rFonts w:ascii="Times New Roman" w:eastAsia="Times New Roman" w:hAnsi="Times New Roman" w:cs="Times New Roman"/>
          <w:color w:val="000000"/>
          <w:sz w:val="24"/>
          <w:szCs w:val="24"/>
        </w:rPr>
        <w:t>іо- і відеоапаратури;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послуги з ремонту електропобутової техніки та інших побутових приладі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послуги з ремонту годинникі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послуги з ремонту велосипеді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послуги з технічного обслуговування і ремонту музичних інструменті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виготовлення металовиробів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послуги з ремонту інших предметів особистого користування, домашнього вжитку та металовиробі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виготовлення ювелірних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послуги з ремонту ювелірних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прокат речей особистого користування та побутових товарі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послуги з виконання фоторобіт;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послуги з оброблення </w:t>
      </w:r>
      <w:proofErr w:type="gramStart"/>
      <w:r>
        <w:rPr>
          <w:rFonts w:ascii="Times New Roman" w:eastAsia="Times New Roman" w:hAnsi="Times New Roman" w:cs="Times New Roman"/>
          <w:color w:val="000000"/>
          <w:sz w:val="24"/>
          <w:szCs w:val="24"/>
        </w:rPr>
        <w:t>пл</w:t>
      </w:r>
      <w:proofErr w:type="gramEnd"/>
      <w:r>
        <w:rPr>
          <w:rFonts w:ascii="Times New Roman" w:eastAsia="Times New Roman" w:hAnsi="Times New Roman" w:cs="Times New Roman"/>
          <w:color w:val="000000"/>
          <w:sz w:val="24"/>
          <w:szCs w:val="24"/>
        </w:rPr>
        <w:t>івок;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послуги з прання, оброблення білизни та інших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послуги з чищення та фарбування текстильних, трикотажних і хутрових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вичинка хутрових шкур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послуги перукарень;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ритуальні послуги;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послуги, </w:t>
      </w:r>
      <w:proofErr w:type="gramStart"/>
      <w:r>
        <w:rPr>
          <w:rFonts w:ascii="Times New Roman" w:eastAsia="Times New Roman" w:hAnsi="Times New Roman" w:cs="Times New Roman"/>
          <w:color w:val="000000"/>
          <w:sz w:val="24"/>
          <w:szCs w:val="24"/>
        </w:rPr>
        <w:t>пов'язан</w:t>
      </w:r>
      <w:proofErr w:type="gramEnd"/>
      <w:r>
        <w:rPr>
          <w:rFonts w:ascii="Times New Roman" w:eastAsia="Times New Roman" w:hAnsi="Times New Roman" w:cs="Times New Roman"/>
          <w:color w:val="000000"/>
          <w:sz w:val="24"/>
          <w:szCs w:val="24"/>
        </w:rPr>
        <w:t>і з сільським та лісовим господарством;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послуги домашньої прислуги;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послуги, </w:t>
      </w:r>
      <w:proofErr w:type="gramStart"/>
      <w:r>
        <w:rPr>
          <w:rFonts w:ascii="Times New Roman" w:eastAsia="Times New Roman" w:hAnsi="Times New Roman" w:cs="Times New Roman"/>
          <w:color w:val="000000"/>
          <w:sz w:val="24"/>
          <w:szCs w:val="24"/>
        </w:rPr>
        <w:t>пов'язан</w:t>
      </w:r>
      <w:proofErr w:type="gramEnd"/>
      <w:r>
        <w:rPr>
          <w:rFonts w:ascii="Times New Roman" w:eastAsia="Times New Roman" w:hAnsi="Times New Roman" w:cs="Times New Roman"/>
          <w:color w:val="000000"/>
          <w:sz w:val="24"/>
          <w:szCs w:val="24"/>
        </w:rPr>
        <w:t>і з очищенням та прибиранням приміщень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База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визначення доході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та</w:t>
      </w:r>
      <w:proofErr w:type="gramEnd"/>
      <w:r>
        <w:rPr>
          <w:rFonts w:ascii="Times New Roman" w:eastAsia="Times New Roman" w:hAnsi="Times New Roman" w:cs="Times New Roman"/>
          <w:color w:val="000000"/>
          <w:sz w:val="24"/>
          <w:szCs w:val="24"/>
        </w:rPr>
        <w:t xml:space="preserve"> їх склад передбачено статтями 292, 292¹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Ставки та порядок обчислення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proofErr w:type="gramStart"/>
      <w:r>
        <w:rPr>
          <w:rFonts w:ascii="Times New Roman" w:eastAsia="Times New Roman" w:hAnsi="Times New Roman" w:cs="Times New Roman"/>
          <w:color w:val="000000"/>
          <w:sz w:val="24"/>
          <w:szCs w:val="24"/>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w:t>
      </w:r>
      <w:proofErr w:type="gramEnd"/>
      <w:r>
        <w:rPr>
          <w:rFonts w:ascii="Times New Roman" w:eastAsia="Times New Roman" w:hAnsi="Times New Roman" w:cs="Times New Roman"/>
          <w:color w:val="000000"/>
          <w:sz w:val="24"/>
          <w:szCs w:val="24"/>
        </w:rPr>
        <w:t xml:space="preserve">ітної плати, встановленої законом на 1 січня податкового (звітного) року (далі у цій главі - мінімальна заробітна плата), третьої групи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відсотках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доходу (відсоткові ставки).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Фіксовані  ставки   єдиного   податку   встановлюються  для  фізичних осіб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ідприємців,  які здійснюють господарську діяльність,  залежно від виду господарської діяльності, з розрахунку на календарний місяць: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Для першої групи платників єдиного податку, визначеної Податковим кодексом України у розмірах:</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- 10 % розміру прожиткового мінімуму, встановленого законом на 1 січня податкового (звітного) року на </w:t>
      </w:r>
      <w:proofErr w:type="gramStart"/>
      <w:r>
        <w:rPr>
          <w:rFonts w:ascii="Times New Roman" w:eastAsia="Times New Roman" w:hAnsi="Times New Roman" w:cs="Times New Roman"/>
          <w:color w:val="000000"/>
          <w:sz w:val="24"/>
          <w:szCs w:val="24"/>
        </w:rPr>
        <w:t>вс</w:t>
      </w:r>
      <w:proofErr w:type="gramEnd"/>
      <w:r>
        <w:rPr>
          <w:rFonts w:ascii="Times New Roman" w:eastAsia="Times New Roman" w:hAnsi="Times New Roman" w:cs="Times New Roman"/>
          <w:color w:val="000000"/>
          <w:sz w:val="24"/>
          <w:szCs w:val="24"/>
        </w:rPr>
        <w:t>і види діяльності, які дозволені для даної групи платників єдиного податку з усіма обмеженнями та особливостями, викладеними в Податковому кодексі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Для другої групи платників єдиного податку, визначеної Податковим кодексом України, в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 20 відсотків розміру мінімальної заробітної плати, встановленої законом на 1 січня податкового (звітного) року, на всі види діяльності, які дозволені для даної групи платників єдиного податку з усіма обмеженнями та особливостями, викладеними в Податковому кодексі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Відсоткова ставка єдиного податку для платників третьої групи встановлюється у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3 відсотки доходу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разі сплати податку на додану вартість згідно з Податковим  Кодексом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5 відсотків доходу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разі включення податку на додану вартість до складу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фізичних осіб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пункту 293.3  статті 293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Ставка єдиного податку встановлюється для платників єдиного податку першої - третьої групи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у розмірі 15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суми перевищення обсягу доходу, визначеного у </w:t>
      </w:r>
      <w:hyperlink r:id="rId8" w:anchor="n6951"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ідпунктах </w:t>
        </w:r>
      </w:hyperlink>
      <w:hyperlink r:id="rId9" w:anchor="n6951" w:history="1">
        <w:r>
          <w:rPr>
            <w:rStyle w:val="a3"/>
            <w:rFonts w:ascii="Times New Roman" w:eastAsia="Times New Roman" w:hAnsi="Times New Roman" w:cs="Times New Roman"/>
            <w:color w:val="333366"/>
            <w:sz w:val="24"/>
            <w:szCs w:val="24"/>
            <w:u w:val="none"/>
          </w:rPr>
          <w:t>1</w:t>
        </w:r>
      </w:hyperlink>
      <w:r>
        <w:rPr>
          <w:rFonts w:ascii="Times New Roman" w:eastAsia="Times New Roman" w:hAnsi="Times New Roman" w:cs="Times New Roman"/>
          <w:color w:val="000000"/>
          <w:sz w:val="24"/>
          <w:szCs w:val="24"/>
        </w:rPr>
        <w:t>, </w:t>
      </w:r>
      <w:hyperlink r:id="rId10" w:anchor="n6952" w:history="1">
        <w:r>
          <w:rPr>
            <w:rStyle w:val="a3"/>
            <w:rFonts w:ascii="Times New Roman" w:eastAsia="Times New Roman" w:hAnsi="Times New Roman" w:cs="Times New Roman"/>
            <w:color w:val="333366"/>
            <w:sz w:val="24"/>
            <w:szCs w:val="24"/>
            <w:u w:val="none"/>
          </w:rPr>
          <w:t>2</w:t>
        </w:r>
      </w:hyperlink>
      <w:r>
        <w:rPr>
          <w:rFonts w:ascii="Times New Roman" w:eastAsia="Times New Roman" w:hAnsi="Times New Roman" w:cs="Times New Roman"/>
          <w:color w:val="000000"/>
          <w:sz w:val="24"/>
          <w:szCs w:val="24"/>
        </w:rPr>
        <w:t> і </w:t>
      </w:r>
      <w:hyperlink r:id="rId11" w:anchor="n6957" w:history="1">
        <w:r>
          <w:rPr>
            <w:rStyle w:val="a3"/>
            <w:rFonts w:ascii="Times New Roman" w:eastAsia="Times New Roman" w:hAnsi="Times New Roman" w:cs="Times New Roman"/>
            <w:color w:val="333366"/>
            <w:sz w:val="24"/>
            <w:szCs w:val="24"/>
            <w:u w:val="none"/>
          </w:rPr>
          <w:t>3</w:t>
        </w:r>
      </w:hyperlink>
      <w:r>
        <w:rPr>
          <w:rFonts w:ascii="Times New Roman" w:eastAsia="Times New Roman" w:hAnsi="Times New Roman" w:cs="Times New Roman"/>
          <w:color w:val="000000"/>
          <w:sz w:val="24"/>
          <w:szCs w:val="24"/>
        </w:rPr>
        <w:t> пункту 291.4 статті 291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 доходу, отриманого від провадження діяльності, не зазначеної у реє</w:t>
      </w:r>
      <w:proofErr w:type="gramStart"/>
      <w:r>
        <w:rPr>
          <w:rFonts w:ascii="Times New Roman" w:eastAsia="Times New Roman" w:hAnsi="Times New Roman" w:cs="Times New Roman"/>
          <w:color w:val="000000"/>
          <w:sz w:val="24"/>
          <w:szCs w:val="24"/>
        </w:rPr>
        <w:t>стр</w:t>
      </w:r>
      <w:proofErr w:type="gramEnd"/>
      <w:r>
        <w:rPr>
          <w:rFonts w:ascii="Times New Roman" w:eastAsia="Times New Roman" w:hAnsi="Times New Roman" w:cs="Times New Roman"/>
          <w:color w:val="000000"/>
          <w:sz w:val="24"/>
          <w:szCs w:val="24"/>
        </w:rPr>
        <w:t>і платників єдиного податку, віднесеного до першої або другої групи;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доходу, отриманого при застосуванні іншого способу розрахункі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ніж зазначений у цій главі;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доходу, отриманого від здійснення видів діяльності, які не дають права застосовувати спрощену систему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 доходу, отриманого платниками першої або другої групи від провадження діяльності, яка не передбачена у </w:t>
      </w:r>
      <w:hyperlink r:id="rId12" w:anchor="n6951"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ідпунктах 1</w:t>
        </w:r>
      </w:hyperlink>
      <w:r>
        <w:rPr>
          <w:rFonts w:ascii="Times New Roman" w:eastAsia="Times New Roman" w:hAnsi="Times New Roman" w:cs="Times New Roman"/>
          <w:color w:val="000000"/>
          <w:sz w:val="24"/>
          <w:szCs w:val="24"/>
        </w:rPr>
        <w:t> або </w:t>
      </w:r>
      <w:hyperlink r:id="rId13" w:anchor="n6952" w:history="1">
        <w:r>
          <w:rPr>
            <w:rStyle w:val="a3"/>
            <w:rFonts w:ascii="Times New Roman" w:eastAsia="Times New Roman" w:hAnsi="Times New Roman" w:cs="Times New Roman"/>
            <w:color w:val="333366"/>
            <w:sz w:val="24"/>
            <w:szCs w:val="24"/>
            <w:u w:val="none"/>
          </w:rPr>
          <w:t>2</w:t>
        </w:r>
      </w:hyperlink>
      <w:r>
        <w:rPr>
          <w:rFonts w:ascii="Times New Roman" w:eastAsia="Times New Roman" w:hAnsi="Times New Roman" w:cs="Times New Roman"/>
          <w:color w:val="000000"/>
          <w:sz w:val="24"/>
          <w:szCs w:val="24"/>
        </w:rPr>
        <w:t> пункту 291.4 статті 291 Податкового Кодексу відповідно.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Ставки єдиного податку для платників третьої групи (юридичні особи) встановлюються у подвійному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 ставок, визначених пунктом 293.3 цієї статті 293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суми перевищення обсягу доходу, визначеного у </w:t>
      </w:r>
      <w:hyperlink r:id="rId14" w:anchor="n6957"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ідпункті 3</w:t>
        </w:r>
      </w:hyperlink>
      <w:r>
        <w:rPr>
          <w:rFonts w:ascii="Times New Roman" w:eastAsia="Times New Roman" w:hAnsi="Times New Roman" w:cs="Times New Roman"/>
          <w:color w:val="000000"/>
          <w:sz w:val="24"/>
          <w:szCs w:val="24"/>
        </w:rPr>
        <w:t> пункту 291.4 статті 291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доходу, отриманого при застосуванні іншого способу розрахункі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ніж зазначений у цій главі;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доходу, отриманого від здійснення видів діяльності, які не дають права застосовувати спрощену систему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У разі здійснення платниками єдиного податку першої і другої груп кількох видів господарської діяльності застосовується максимальний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ставки єдиного податку, встановлений для таких видів господарської діяльності.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ставки єдиного податку, встановлений цією статтею для відповідної групи </w:t>
      </w:r>
      <w:proofErr w:type="gramStart"/>
      <w:r>
        <w:rPr>
          <w:rFonts w:ascii="Times New Roman" w:eastAsia="Times New Roman" w:hAnsi="Times New Roman" w:cs="Times New Roman"/>
          <w:color w:val="000000"/>
          <w:sz w:val="24"/>
          <w:szCs w:val="24"/>
        </w:rPr>
        <w:t>таких</w:t>
      </w:r>
      <w:proofErr w:type="gramEnd"/>
      <w:r>
        <w:rPr>
          <w:rFonts w:ascii="Times New Roman" w:eastAsia="Times New Roman" w:hAnsi="Times New Roman" w:cs="Times New Roman"/>
          <w:color w:val="000000"/>
          <w:sz w:val="24"/>
          <w:szCs w:val="24"/>
        </w:rPr>
        <w:t xml:space="preserve"> платників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Ставки, зазначені в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ідпунктах 3.3-3.5 пункту 3 цього Положення застосовуються з урахуванням особливостей, встановлених пунктом 293.8 статті 293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Для платників єдиного податку четвертої групи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ставок податку з одного гектара сільськогосподарських угідь та/або земель водного фонду залежить від категорії (типу) земель, їх розташування; відсоток бази оподаткування визначений підпунктами 393.9.1-293.9.6 пункту 293.9 статті 293 Податкового кодексу України.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Податковим (звітним) період </w:t>
      </w:r>
      <w:r>
        <w:rPr>
          <w:rFonts w:ascii="Times New Roman" w:eastAsia="Times New Roman" w:hAnsi="Times New Roman" w:cs="Times New Roman"/>
          <w:color w:val="000000"/>
          <w:sz w:val="24"/>
          <w:szCs w:val="24"/>
        </w:rPr>
        <w:t xml:space="preserve">для платників єдиного податку першої, другої та четвертої груп є календарний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для платників єдиного податку третьої групи є календарний квартал,  що визначено статтею 294 Податкового кодексу Українизі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Порядок нарахування та строки сплати</w:t>
      </w:r>
      <w:r>
        <w:rPr>
          <w:rFonts w:ascii="Times New Roman" w:eastAsia="Times New Roman" w:hAnsi="Times New Roman" w:cs="Times New Roman"/>
          <w:color w:val="000000"/>
          <w:sz w:val="24"/>
          <w:szCs w:val="24"/>
        </w:rPr>
        <w:t> єдиного  податку визначаються статтею 295 Податкового кодексу Українизі змінами та доповненнями.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6. Ведення </w:t>
      </w:r>
      <w:proofErr w:type="gramStart"/>
      <w:r>
        <w:rPr>
          <w:rFonts w:ascii="Times New Roman" w:eastAsia="Times New Roman" w:hAnsi="Times New Roman" w:cs="Times New Roman"/>
          <w:b/>
          <w:bCs/>
          <w:color w:val="000000"/>
          <w:sz w:val="24"/>
          <w:szCs w:val="24"/>
        </w:rPr>
        <w:t>обл</w:t>
      </w:r>
      <w:proofErr w:type="gramEnd"/>
      <w:r>
        <w:rPr>
          <w:rFonts w:ascii="Times New Roman" w:eastAsia="Times New Roman" w:hAnsi="Times New Roman" w:cs="Times New Roman"/>
          <w:b/>
          <w:bCs/>
          <w:color w:val="000000"/>
          <w:sz w:val="24"/>
          <w:szCs w:val="24"/>
        </w:rPr>
        <w:t>іку, складання звітності </w:t>
      </w:r>
      <w:r>
        <w:rPr>
          <w:rFonts w:ascii="Times New Roman" w:eastAsia="Times New Roman" w:hAnsi="Times New Roman" w:cs="Times New Roman"/>
          <w:color w:val="000000"/>
          <w:sz w:val="24"/>
          <w:szCs w:val="24"/>
        </w:rPr>
        <w:t>платниками єдиного податку визначаються статтею 296 Податкового кодексу Українизі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Особливості нарахування сплати та подання звітності</w:t>
      </w:r>
      <w:r>
        <w:rPr>
          <w:rFonts w:ascii="Times New Roman" w:eastAsia="Times New Roman" w:hAnsi="Times New Roman" w:cs="Times New Roman"/>
          <w:color w:val="000000"/>
          <w:sz w:val="24"/>
          <w:szCs w:val="24"/>
        </w:rPr>
        <w:t> з окремих податків і зборівплатниками єдиного податку, їх відповідальність визначаються згідно зі статтями 297, 300 Податкового кодексу України 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Інші питання  щодо застосування спрощеної системи оподаткування, які не врегульовані даним Положенням, вирішуються відповідно до норм, встановлених Податковим  кодексом Україн</w:t>
      </w:r>
      <w:r>
        <w:rPr>
          <w:rFonts w:ascii="Times New Roman" w:eastAsia="Times New Roman" w:hAnsi="Times New Roman" w:cs="Times New Roman"/>
          <w:color w:val="000000"/>
          <w:sz w:val="24"/>
          <w:szCs w:val="24"/>
          <w:lang w:val="uk-UA"/>
        </w:rPr>
        <w:t>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Т.в</w:t>
      </w:r>
      <w:proofErr w:type="gramStart"/>
      <w:r>
        <w:rPr>
          <w:rFonts w:ascii="Times New Roman" w:eastAsia="Times New Roman" w:hAnsi="Times New Roman" w:cs="Times New Roman"/>
          <w:b/>
          <w:bCs/>
          <w:color w:val="000000"/>
          <w:sz w:val="24"/>
          <w:szCs w:val="24"/>
        </w:rPr>
        <w:t>.о</w:t>
      </w:r>
      <w:proofErr w:type="gramEnd"/>
      <w:r>
        <w:rPr>
          <w:rFonts w:ascii="Times New Roman" w:eastAsia="Times New Roman" w:hAnsi="Times New Roman" w:cs="Times New Roman"/>
          <w:b/>
          <w:bCs/>
          <w:color w:val="000000"/>
          <w:sz w:val="24"/>
          <w:szCs w:val="24"/>
        </w:rPr>
        <w:t xml:space="preserve"> сільського голови                            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F0839" w:rsidRDefault="00DF0839"/>
    <w:sectPr w:rsidR="00DF0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00705"/>
    <w:multiLevelType w:val="multilevel"/>
    <w:tmpl w:val="CB94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useFELayout/>
  </w:compat>
  <w:rsids>
    <w:rsidRoot w:val="005A4110"/>
    <w:rsid w:val="005A4110"/>
    <w:rsid w:val="00DF0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4110"/>
    <w:rPr>
      <w:color w:val="0000FF"/>
      <w:u w:val="single"/>
    </w:rPr>
  </w:style>
  <w:style w:type="paragraph" w:styleId="a4">
    <w:name w:val="Balloon Text"/>
    <w:basedOn w:val="a"/>
    <w:link w:val="a5"/>
    <w:uiPriority w:val="99"/>
    <w:semiHidden/>
    <w:unhideWhenUsed/>
    <w:rsid w:val="005A41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4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0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755-17/print1453358203749081" TargetMode="External"/><Relationship Id="rId13" Type="http://schemas.openxmlformats.org/officeDocument/2006/relationships/hyperlink" Target="http://zakon3.rada.gov.ua/laws/show/2755-17/print1453358203749081" TargetMode="External"/><Relationship Id="rId3" Type="http://schemas.openxmlformats.org/officeDocument/2006/relationships/settings" Target="settings.xml"/><Relationship Id="rId7" Type="http://schemas.openxmlformats.org/officeDocument/2006/relationships/hyperlink" Target="http://zakon2.rada.gov.ua/laws/show/2755-17/print1384011613320036" TargetMode="External"/><Relationship Id="rId12" Type="http://schemas.openxmlformats.org/officeDocument/2006/relationships/hyperlink" Target="http://zakon3.rada.gov.ua/laws/show/2755-17/print14533582037490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2.rada.gov.ua/laws/show/85/96-%D0%B2%D1%80" TargetMode="External"/><Relationship Id="rId11" Type="http://schemas.openxmlformats.org/officeDocument/2006/relationships/hyperlink" Target="http://zakon3.rada.gov.ua/laws/show/2755-17/print1453358203749081"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zakon3.rada.gov.ua/laws/show/2755-17/print1453358203749081" TargetMode="External"/><Relationship Id="rId4" Type="http://schemas.openxmlformats.org/officeDocument/2006/relationships/webSettings" Target="webSettings.xml"/><Relationship Id="rId9" Type="http://schemas.openxmlformats.org/officeDocument/2006/relationships/hyperlink" Target="http://zakon3.rada.gov.ua/laws/show/2755-17/print1453358203749081" TargetMode="External"/><Relationship Id="rId14" Type="http://schemas.openxmlformats.org/officeDocument/2006/relationships/hyperlink" Target="http://zakon3.rada.gov.ua/laws/show/2755-17/print1453358203749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3803</Words>
  <Characters>21679</Characters>
  <Application>Microsoft Office Word</Application>
  <DocSecurity>0</DocSecurity>
  <Lines>180</Lines>
  <Paragraphs>50</Paragraphs>
  <ScaleCrop>false</ScaleCrop>
  <Company/>
  <LinksUpToDate>false</LinksUpToDate>
  <CharactersWithSpaces>25432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3</cp:revision>
  <dcterms:created xsi:type="dcterms:W3CDTF">2018-07-25T10:18:00Z</dcterms:created>
  <dcterms:modified xsi:type="dcterms:W3CDTF">2018-07-25T10:18:00Z</dcterms:modified>
</cp:coreProperties>
</file>