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F0" w:rsidRPr="008729F0" w:rsidRDefault="008729F0" w:rsidP="00872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color w:val="000000"/>
          <w:sz w:val="21"/>
          <w:szCs w:val="21"/>
        </w:rPr>
      </w:pPr>
      <w:r w:rsidRPr="008729F0">
        <w:rPr>
          <w:rFonts w:ascii="Times New Roman" w:eastAsia="Calibri" w:hAnsi="Times New Roman"/>
          <w:b/>
          <w:noProof/>
          <w:spacing w:val="10"/>
          <w:szCs w:val="28"/>
          <w:lang w:eastAsia="ru-RU"/>
        </w:rPr>
        <w:drawing>
          <wp:inline distT="0" distB="0" distL="0" distR="0">
            <wp:extent cx="363855" cy="602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F0" w:rsidRPr="008729F0" w:rsidRDefault="008729F0" w:rsidP="00872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/>
          <w:color w:val="000000"/>
          <w:sz w:val="28"/>
          <w:szCs w:val="21"/>
        </w:rPr>
      </w:pPr>
    </w:p>
    <w:p w:rsidR="008729F0" w:rsidRPr="008729F0" w:rsidRDefault="008729F0" w:rsidP="008729F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729F0">
        <w:rPr>
          <w:rFonts w:ascii="Times New Roman" w:eastAsia="Calibri" w:hAnsi="Times New Roman"/>
          <w:b/>
          <w:i/>
          <w:sz w:val="28"/>
          <w:szCs w:val="28"/>
        </w:rPr>
        <w:t>СВАТІВСЬКА РАЙОННА РАДА</w:t>
      </w:r>
    </w:p>
    <w:p w:rsidR="008729F0" w:rsidRPr="008729F0" w:rsidRDefault="008729F0" w:rsidP="008729F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729F0">
        <w:rPr>
          <w:rFonts w:ascii="Times New Roman" w:eastAsia="Calibri" w:hAnsi="Times New Roman"/>
          <w:b/>
          <w:i/>
          <w:sz w:val="28"/>
          <w:szCs w:val="28"/>
        </w:rPr>
        <w:t>ЛУГАНСЬКОЇ ОБЛАСТІ</w:t>
      </w:r>
    </w:p>
    <w:p w:rsidR="008729F0" w:rsidRPr="008729F0" w:rsidRDefault="008729F0" w:rsidP="008729F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729F0">
        <w:rPr>
          <w:rFonts w:ascii="Times New Roman" w:eastAsia="Calibri" w:hAnsi="Times New Roman"/>
          <w:b/>
          <w:i/>
          <w:sz w:val="28"/>
          <w:szCs w:val="28"/>
        </w:rPr>
        <w:t>СЬОМОГО СКЛИКАННЯ</w:t>
      </w:r>
    </w:p>
    <w:p w:rsidR="008729F0" w:rsidRPr="008729F0" w:rsidRDefault="008729F0" w:rsidP="008729F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729F0">
        <w:rPr>
          <w:rFonts w:ascii="Times New Roman" w:eastAsia="Calibri" w:hAnsi="Times New Roman"/>
          <w:b/>
          <w:i/>
          <w:sz w:val="28"/>
          <w:szCs w:val="28"/>
        </w:rPr>
        <w:t xml:space="preserve">СОРОК </w:t>
      </w:r>
      <w:r>
        <w:rPr>
          <w:rFonts w:ascii="Times New Roman" w:eastAsia="Calibri" w:hAnsi="Times New Roman"/>
          <w:b/>
          <w:i/>
          <w:sz w:val="28"/>
          <w:szCs w:val="28"/>
          <w:lang w:val="uk-UA"/>
        </w:rPr>
        <w:t>ЧЕТВЕРТА</w:t>
      </w:r>
      <w:r w:rsidRPr="008729F0">
        <w:rPr>
          <w:rFonts w:ascii="Times New Roman" w:eastAsia="Calibri" w:hAnsi="Times New Roman"/>
          <w:b/>
          <w:i/>
          <w:sz w:val="28"/>
          <w:szCs w:val="28"/>
        </w:rPr>
        <w:t xml:space="preserve"> СЕСІЯ</w:t>
      </w:r>
    </w:p>
    <w:p w:rsidR="008729F0" w:rsidRPr="008729F0" w:rsidRDefault="008729F0" w:rsidP="008729F0">
      <w:pPr>
        <w:jc w:val="center"/>
        <w:rPr>
          <w:rFonts w:ascii="Times New Roman" w:eastAsia="Calibri" w:hAnsi="Times New Roman"/>
          <w:b/>
          <w:i/>
          <w:sz w:val="28"/>
          <w:szCs w:val="16"/>
        </w:rPr>
      </w:pPr>
    </w:p>
    <w:p w:rsidR="008729F0" w:rsidRPr="008729F0" w:rsidRDefault="008729F0" w:rsidP="008729F0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proofErr w:type="gramStart"/>
      <w:r w:rsidRPr="008729F0">
        <w:rPr>
          <w:rFonts w:ascii="Times New Roman" w:eastAsia="Calibri" w:hAnsi="Times New Roman"/>
          <w:b/>
          <w:i/>
          <w:sz w:val="28"/>
          <w:szCs w:val="28"/>
        </w:rPr>
        <w:t>Р</w:t>
      </w:r>
      <w:proofErr w:type="gramEnd"/>
      <w:r w:rsidRPr="008729F0">
        <w:rPr>
          <w:rFonts w:ascii="Times New Roman" w:eastAsia="Calibri" w:hAnsi="Times New Roman"/>
          <w:b/>
          <w:i/>
          <w:sz w:val="28"/>
          <w:szCs w:val="28"/>
        </w:rPr>
        <w:t>ІШЕННЯ</w:t>
      </w:r>
    </w:p>
    <w:p w:rsidR="008729F0" w:rsidRPr="008729F0" w:rsidRDefault="008729F0" w:rsidP="008729F0">
      <w:pPr>
        <w:jc w:val="both"/>
        <w:rPr>
          <w:rFonts w:ascii="Times New Roman" w:eastAsia="Calibri" w:hAnsi="Times New Roman"/>
          <w:b/>
          <w:i/>
          <w:sz w:val="28"/>
          <w:szCs w:val="16"/>
        </w:rPr>
      </w:pPr>
    </w:p>
    <w:p w:rsidR="008729F0" w:rsidRPr="008729F0" w:rsidRDefault="00976C07" w:rsidP="008729F0">
      <w:pPr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16"/>
          <w:lang w:val="uk-UA"/>
        </w:rPr>
        <w:t>27 лютого</w:t>
      </w:r>
      <w:r w:rsidR="008729F0" w:rsidRPr="008729F0">
        <w:rPr>
          <w:rFonts w:ascii="Times New Roman" w:eastAsia="Calibri" w:hAnsi="Times New Roman"/>
          <w:sz w:val="28"/>
          <w:szCs w:val="28"/>
        </w:rPr>
        <w:t xml:space="preserve"> 2019 р.</w:t>
      </w:r>
      <w:r w:rsidR="008729F0" w:rsidRPr="008729F0">
        <w:rPr>
          <w:rFonts w:ascii="Times New Roman" w:eastAsia="Calibri" w:hAnsi="Times New Roman"/>
          <w:sz w:val="28"/>
          <w:szCs w:val="28"/>
        </w:rPr>
        <w:tab/>
      </w:r>
      <w:r w:rsidR="008729F0" w:rsidRPr="008729F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 w:rsidR="008729F0" w:rsidRPr="008729F0">
        <w:rPr>
          <w:rFonts w:ascii="Times New Roman" w:eastAsia="Calibri" w:hAnsi="Times New Roman"/>
          <w:sz w:val="28"/>
          <w:szCs w:val="28"/>
        </w:rPr>
        <w:t xml:space="preserve">м. </w:t>
      </w:r>
      <w:proofErr w:type="gramStart"/>
      <w:r w:rsidR="008729F0" w:rsidRPr="008729F0">
        <w:rPr>
          <w:rFonts w:ascii="Times New Roman" w:eastAsia="Calibri" w:hAnsi="Times New Roman"/>
          <w:sz w:val="28"/>
          <w:szCs w:val="28"/>
        </w:rPr>
        <w:t>Сватове</w:t>
      </w:r>
      <w:proofErr w:type="gramEnd"/>
      <w:r w:rsidR="008729F0" w:rsidRPr="008729F0">
        <w:rPr>
          <w:rFonts w:ascii="Times New Roman" w:eastAsia="Calibri" w:hAnsi="Times New Roman"/>
          <w:sz w:val="28"/>
          <w:szCs w:val="28"/>
        </w:rPr>
        <w:t xml:space="preserve"> </w:t>
      </w:r>
      <w:r w:rsidR="008729F0" w:rsidRPr="008729F0">
        <w:rPr>
          <w:rFonts w:ascii="Times New Roman" w:eastAsia="Calibri" w:hAnsi="Times New Roman"/>
          <w:sz w:val="28"/>
          <w:szCs w:val="28"/>
        </w:rPr>
        <w:tab/>
      </w:r>
      <w:r w:rsidR="008729F0">
        <w:rPr>
          <w:rFonts w:ascii="Times New Roman" w:eastAsia="Calibri" w:hAnsi="Times New Roman"/>
          <w:sz w:val="28"/>
          <w:szCs w:val="28"/>
          <w:lang w:val="uk-UA"/>
        </w:rPr>
        <w:tab/>
      </w:r>
      <w:r w:rsidR="008729F0" w:rsidRPr="008729F0">
        <w:rPr>
          <w:rFonts w:ascii="Times New Roman" w:eastAsia="Calibri" w:hAnsi="Times New Roman"/>
          <w:sz w:val="28"/>
          <w:szCs w:val="28"/>
        </w:rPr>
        <w:tab/>
      </w:r>
      <w:r w:rsidR="008729F0" w:rsidRPr="008729F0">
        <w:rPr>
          <w:rFonts w:ascii="Times New Roman" w:eastAsia="Calibri" w:hAnsi="Times New Roman"/>
          <w:sz w:val="28"/>
          <w:szCs w:val="28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uk-UA"/>
        </w:rPr>
        <w:t>44/10</w:t>
      </w:r>
    </w:p>
    <w:p w:rsidR="008729F0" w:rsidRPr="008729F0" w:rsidRDefault="008729F0" w:rsidP="008729F0">
      <w:pPr>
        <w:jc w:val="both"/>
        <w:rPr>
          <w:rFonts w:ascii="Times New Roman" w:hAnsi="Times New Roman"/>
          <w:b/>
          <w:sz w:val="28"/>
          <w:szCs w:val="28"/>
        </w:rPr>
      </w:pPr>
    </w:p>
    <w:p w:rsidR="008A1636" w:rsidRPr="00E06041" w:rsidRDefault="00E06041" w:rsidP="00E06041">
      <w:pPr>
        <w:pStyle w:val="a6"/>
        <w:ind w:right="481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</w:t>
      </w:r>
      <w:r w:rsidR="00B81E6A">
        <w:rPr>
          <w:rFonts w:ascii="Times New Roman" w:hAnsi="Times New Roman"/>
          <w:b/>
          <w:sz w:val="28"/>
          <w:szCs w:val="28"/>
          <w:lang w:val="uk-UA" w:eastAsia="ru-RU"/>
        </w:rPr>
        <w:t>затвердження</w:t>
      </w:r>
      <w:r w:rsidR="00E305BD"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B95684"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змін до </w:t>
      </w:r>
      <w:r w:rsidR="00ED0518" w:rsidRPr="00E06041">
        <w:rPr>
          <w:rFonts w:ascii="Times New Roman" w:hAnsi="Times New Roman"/>
          <w:b/>
          <w:sz w:val="28"/>
          <w:szCs w:val="28"/>
          <w:lang w:val="uk-UA" w:eastAsia="ru-RU"/>
        </w:rPr>
        <w:t>фінансового</w:t>
      </w: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ED0518"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плану </w:t>
      </w: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Комунального некомерційного </w:t>
      </w:r>
      <w:r w:rsidR="008A1636" w:rsidRPr="00E06041">
        <w:rPr>
          <w:rFonts w:ascii="Times New Roman" w:hAnsi="Times New Roman"/>
          <w:b/>
          <w:sz w:val="28"/>
          <w:szCs w:val="28"/>
          <w:lang w:val="uk-UA" w:eastAsia="ru-RU"/>
        </w:rPr>
        <w:t>підприємства «Сватівський</w:t>
      </w: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E06041">
        <w:rPr>
          <w:rFonts w:ascii="Times New Roman" w:hAnsi="Times New Roman"/>
          <w:b/>
          <w:sz w:val="28"/>
          <w:szCs w:val="28"/>
          <w:lang w:val="uk-UA" w:eastAsia="ru-RU"/>
        </w:rPr>
        <w:t>центр первинної</w:t>
      </w: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E06041">
        <w:rPr>
          <w:rFonts w:ascii="Times New Roman" w:hAnsi="Times New Roman"/>
          <w:b/>
          <w:sz w:val="28"/>
          <w:szCs w:val="28"/>
          <w:lang w:val="uk-UA" w:eastAsia="ru-RU"/>
        </w:rPr>
        <w:t>медико-санітарної допомоги»</w:t>
      </w: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E06041">
        <w:rPr>
          <w:rFonts w:ascii="Times New Roman" w:hAnsi="Times New Roman"/>
          <w:b/>
          <w:sz w:val="28"/>
          <w:szCs w:val="28"/>
          <w:lang w:val="uk-UA" w:eastAsia="ru-RU"/>
        </w:rPr>
        <w:t>Сватівської</w:t>
      </w:r>
      <w:r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E06041">
        <w:rPr>
          <w:rFonts w:ascii="Times New Roman" w:hAnsi="Times New Roman"/>
          <w:b/>
          <w:sz w:val="28"/>
          <w:szCs w:val="28"/>
          <w:lang w:val="uk-UA" w:eastAsia="ru-RU"/>
        </w:rPr>
        <w:t>районної ради Луганської області на 20</w:t>
      </w:r>
      <w:r w:rsidR="00DD6756" w:rsidRPr="00E06041">
        <w:rPr>
          <w:rFonts w:ascii="Times New Roman" w:hAnsi="Times New Roman"/>
          <w:b/>
          <w:sz w:val="28"/>
          <w:szCs w:val="28"/>
          <w:lang w:val="uk-UA" w:eastAsia="ru-RU"/>
        </w:rPr>
        <w:t>20</w:t>
      </w:r>
      <w:r w:rsidR="008A1636" w:rsidRPr="00E06041">
        <w:rPr>
          <w:rFonts w:ascii="Times New Roman" w:hAnsi="Times New Roman"/>
          <w:b/>
          <w:sz w:val="28"/>
          <w:szCs w:val="28"/>
          <w:lang w:val="uk-UA" w:eastAsia="ru-RU"/>
        </w:rPr>
        <w:t xml:space="preserve"> рік</w:t>
      </w:r>
    </w:p>
    <w:p w:rsidR="008A1636" w:rsidRPr="00E06041" w:rsidRDefault="008A1636" w:rsidP="008A1636">
      <w:pPr>
        <w:shd w:val="clear" w:color="auto" w:fill="FFFFFF"/>
        <w:spacing w:after="135" w:line="270" w:lineRule="atLeast"/>
        <w:rPr>
          <w:rFonts w:ascii="Times New Roman" w:hAnsi="Times New Roman"/>
          <w:lang w:val="uk-UA" w:eastAsia="ru-RU"/>
        </w:rPr>
      </w:pPr>
      <w:r w:rsidRPr="00E06041">
        <w:rPr>
          <w:rFonts w:ascii="Times New Roman" w:hAnsi="Times New Roman"/>
          <w:lang w:eastAsia="ru-RU"/>
        </w:rPr>
        <w:t> </w:t>
      </w:r>
    </w:p>
    <w:p w:rsidR="00E06041" w:rsidRPr="00E06041" w:rsidRDefault="008A1636" w:rsidP="00E06041">
      <w:pPr>
        <w:shd w:val="clear" w:color="auto" w:fill="FFFFFF"/>
        <w:spacing w:line="270" w:lineRule="atLeast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подання </w:t>
      </w:r>
      <w:r w:rsidR="00B166EA" w:rsidRPr="00E06041">
        <w:rPr>
          <w:rFonts w:ascii="Times New Roman" w:hAnsi="Times New Roman"/>
          <w:sz w:val="28"/>
          <w:szCs w:val="28"/>
          <w:lang w:val="uk-UA" w:eastAsia="ru-RU"/>
        </w:rPr>
        <w:t xml:space="preserve">КНП «Сватівський центр первинної медико-санітарної допомоги» 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>Сватівської</w:t>
      </w:r>
      <w:r w:rsidR="00B166EA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районної ради Луганської області №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931EC" w:rsidRPr="00E06041">
        <w:rPr>
          <w:rFonts w:ascii="Times New Roman" w:hAnsi="Times New Roman"/>
          <w:sz w:val="28"/>
          <w:szCs w:val="28"/>
          <w:lang w:val="uk-UA" w:eastAsia="ru-RU"/>
        </w:rPr>
        <w:t>131 в</w:t>
      </w:r>
      <w:r w:rsidR="00B166EA" w:rsidRPr="00E06041">
        <w:rPr>
          <w:rFonts w:ascii="Times New Roman" w:hAnsi="Times New Roman"/>
          <w:sz w:val="28"/>
          <w:szCs w:val="28"/>
          <w:lang w:val="uk-UA" w:eastAsia="ru-RU"/>
        </w:rPr>
        <w:t>ід</w:t>
      </w:r>
      <w:r w:rsidR="00B81E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D6756" w:rsidRPr="00E0604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6931EC" w:rsidRPr="00E06041">
        <w:rPr>
          <w:rFonts w:ascii="Times New Roman" w:hAnsi="Times New Roman"/>
          <w:sz w:val="28"/>
          <w:szCs w:val="28"/>
          <w:lang w:val="uk-UA" w:eastAsia="ru-RU"/>
        </w:rPr>
        <w:t>1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931EC" w:rsidRPr="00E06041">
        <w:rPr>
          <w:rFonts w:ascii="Times New Roman" w:hAnsi="Times New Roman"/>
          <w:sz w:val="28"/>
          <w:szCs w:val="28"/>
          <w:lang w:val="uk-UA" w:eastAsia="ru-RU"/>
        </w:rPr>
        <w:t>лютого</w:t>
      </w:r>
      <w:r w:rsidR="00495CF3" w:rsidRPr="00E06041">
        <w:rPr>
          <w:rFonts w:ascii="Times New Roman" w:hAnsi="Times New Roman"/>
          <w:sz w:val="28"/>
          <w:szCs w:val="28"/>
          <w:lang w:val="uk-UA" w:eastAsia="ru-RU"/>
        </w:rPr>
        <w:t xml:space="preserve"> 20</w:t>
      </w:r>
      <w:r w:rsidR="006931EC" w:rsidRPr="00E06041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495CF3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81E6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у зв’язку з очікуваним надходженням додаткових коштів на утримання підприємства у 2020 році, 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>з метою удосконалення організації та забезпечення населення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Сватівського району доступною, своєчасною, якісною 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та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 ефективною первинною медич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ною допомогою, керуючись ст. 78 Господарського кодексу України, Законо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>м України «Основи законодав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ства України про охорону здоров’я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0A26CA" w:rsidRPr="00E06041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="00B81E6A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0A26CA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40 сесії </w:t>
      </w:r>
      <w:r w:rsidR="00B63E21">
        <w:rPr>
          <w:rFonts w:ascii="Times New Roman" w:hAnsi="Times New Roman"/>
          <w:sz w:val="28"/>
          <w:szCs w:val="28"/>
          <w:lang w:val="uk-UA" w:eastAsia="ru-RU"/>
        </w:rPr>
        <w:t>Сватівської</w:t>
      </w:r>
      <w:r w:rsidR="000A26CA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районної ради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Луганської області від 12.11.2019 р. № 4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>0/7</w:t>
      </w:r>
      <w:r w:rsidR="00886D96" w:rsidRPr="00E06041">
        <w:rPr>
          <w:rFonts w:ascii="Times New Roman" w:hAnsi="Times New Roman"/>
          <w:sz w:val="28"/>
          <w:szCs w:val="28"/>
          <w:lang w:val="uk-UA" w:eastAsia="ru-RU"/>
        </w:rPr>
        <w:t>«Про затвердження Порядку складання,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6D96" w:rsidRPr="00E06041">
        <w:rPr>
          <w:rFonts w:ascii="Times New Roman" w:hAnsi="Times New Roman"/>
          <w:sz w:val="28"/>
          <w:szCs w:val="28"/>
          <w:lang w:val="uk-UA" w:eastAsia="ru-RU"/>
        </w:rPr>
        <w:t>затвердження та контролю виконання фінансового плану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 xml:space="preserve"> комунальними некомерційними підприємствами, засновником яких є Сватівська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рай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>он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>а рада Луганської області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>, ста</w:t>
      </w:r>
      <w:r w:rsidR="00886D96" w:rsidRPr="00E06041">
        <w:rPr>
          <w:rFonts w:ascii="Times New Roman" w:hAnsi="Times New Roman"/>
          <w:sz w:val="28"/>
          <w:szCs w:val="28"/>
          <w:lang w:val="uk-UA" w:eastAsia="ru-RU"/>
        </w:rPr>
        <w:t>тут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>ом</w:t>
      </w:r>
      <w:r w:rsidR="00886D96" w:rsidRPr="00E06041">
        <w:rPr>
          <w:rFonts w:ascii="Times New Roman" w:hAnsi="Times New Roman"/>
          <w:sz w:val="28"/>
          <w:szCs w:val="28"/>
          <w:lang w:val="uk-UA" w:eastAsia="ru-RU"/>
        </w:rPr>
        <w:t xml:space="preserve"> КНП «Сватівський ЦПМСД», 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п. </w:t>
      </w:r>
      <w:r w:rsidR="00B81E6A">
        <w:rPr>
          <w:rFonts w:ascii="Times New Roman" w:hAnsi="Times New Roman"/>
          <w:sz w:val="28"/>
          <w:szCs w:val="28"/>
          <w:lang w:val="uk-UA" w:eastAsia="ru-RU"/>
        </w:rPr>
        <w:t>20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 ст.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>43 Закону України «Про місцеве самоврядування в Україні»,</w:t>
      </w:r>
      <w:r w:rsidR="00E06041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районна рада </w:t>
      </w:r>
    </w:p>
    <w:p w:rsidR="00E06041" w:rsidRPr="00E06041" w:rsidRDefault="00E06041" w:rsidP="00E06041">
      <w:pPr>
        <w:shd w:val="clear" w:color="auto" w:fill="FFFFFF"/>
        <w:spacing w:line="270" w:lineRule="atLeast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06041" w:rsidRPr="00E06041" w:rsidRDefault="00E06041" w:rsidP="00E06041">
      <w:pPr>
        <w:jc w:val="both"/>
        <w:rPr>
          <w:rFonts w:ascii="Times New Roman" w:hAnsi="Times New Roman"/>
          <w:bCs/>
          <w:sz w:val="28"/>
          <w:lang w:val="uk-UA" w:eastAsia="ru-RU"/>
        </w:rPr>
      </w:pPr>
      <w:r w:rsidRPr="00E06041">
        <w:rPr>
          <w:rFonts w:ascii="Times New Roman" w:hAnsi="Times New Roman"/>
          <w:bCs/>
          <w:sz w:val="28"/>
          <w:lang w:val="uk-UA" w:eastAsia="ru-RU"/>
        </w:rPr>
        <w:t>ВИРІШИЛА:</w:t>
      </w:r>
    </w:p>
    <w:p w:rsidR="00E06041" w:rsidRPr="00E06041" w:rsidRDefault="00E06041" w:rsidP="00E06041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E06041" w:rsidRDefault="00B81E6A" w:rsidP="00E06041">
      <w:pPr>
        <w:pStyle w:val="a6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Затвердити </w:t>
      </w:r>
      <w:r w:rsidR="00B95684" w:rsidRPr="00E06041">
        <w:rPr>
          <w:rFonts w:ascii="Times New Roman" w:hAnsi="Times New Roman"/>
          <w:sz w:val="28"/>
          <w:szCs w:val="28"/>
          <w:lang w:val="uk-UA" w:eastAsia="ru-RU"/>
        </w:rPr>
        <w:t xml:space="preserve">зміни до </w:t>
      </w:r>
      <w:r w:rsidR="00886D96" w:rsidRPr="00E06041">
        <w:rPr>
          <w:rFonts w:ascii="Times New Roman" w:hAnsi="Times New Roman"/>
          <w:sz w:val="28"/>
          <w:szCs w:val="28"/>
          <w:lang w:val="uk-UA" w:eastAsia="ru-RU"/>
        </w:rPr>
        <w:t>фінансов</w:t>
      </w:r>
      <w:r w:rsidR="00E06041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86D96" w:rsidRPr="00E06041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 w:rsidR="00E06041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8A1636" w:rsidRPr="00E06041">
        <w:rPr>
          <w:rFonts w:ascii="Times New Roman" w:hAnsi="Times New Roman"/>
          <w:sz w:val="28"/>
          <w:szCs w:val="28"/>
          <w:lang w:val="uk-UA" w:eastAsia="ru-RU"/>
        </w:rPr>
        <w:t xml:space="preserve"> Комунального некомерційного  підприємства «Сватівський центр первинн</w:t>
      </w:r>
      <w:r w:rsidR="00212DE9">
        <w:rPr>
          <w:rFonts w:ascii="Times New Roman" w:hAnsi="Times New Roman"/>
          <w:sz w:val="28"/>
          <w:szCs w:val="28"/>
          <w:lang w:val="uk-UA" w:eastAsia="ru-RU"/>
        </w:rPr>
        <w:t xml:space="preserve">ої медико-санітарної допомоги» </w:t>
      </w:r>
      <w:r w:rsidR="008A1636" w:rsidRPr="00E06041">
        <w:rPr>
          <w:rFonts w:ascii="Times New Roman" w:hAnsi="Times New Roman"/>
          <w:sz w:val="28"/>
          <w:szCs w:val="28"/>
          <w:lang w:val="uk-UA" w:eastAsia="ru-RU"/>
        </w:rPr>
        <w:t xml:space="preserve">Сватівської районної ради Луганської </w:t>
      </w:r>
      <w:r w:rsidR="00B95684" w:rsidRPr="00E06041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8A1636" w:rsidRPr="00E06041">
        <w:rPr>
          <w:rFonts w:ascii="Times New Roman" w:hAnsi="Times New Roman"/>
          <w:sz w:val="28"/>
          <w:szCs w:val="28"/>
          <w:lang w:val="uk-UA" w:eastAsia="ru-RU"/>
        </w:rPr>
        <w:t>бласті на 20</w:t>
      </w:r>
      <w:r w:rsidR="000118DF" w:rsidRPr="00E06041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8A1636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 w:rsidR="00B95684" w:rsidRPr="00E06041">
        <w:rPr>
          <w:rFonts w:ascii="Times New Roman" w:hAnsi="Times New Roman"/>
          <w:sz w:val="28"/>
          <w:szCs w:val="28"/>
          <w:lang w:val="uk-UA" w:eastAsia="ru-RU"/>
        </w:rPr>
        <w:t>, затвердженого рішенням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43</w:t>
      </w:r>
      <w:r w:rsidR="00B95684" w:rsidRPr="00E06041">
        <w:rPr>
          <w:rFonts w:ascii="Times New Roman" w:hAnsi="Times New Roman"/>
          <w:sz w:val="28"/>
          <w:szCs w:val="28"/>
          <w:lang w:val="uk-UA" w:eastAsia="ru-RU"/>
        </w:rPr>
        <w:t xml:space="preserve"> сесії Сватівської районної ради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</w:t>
      </w:r>
      <w:r w:rsidR="00B95684" w:rsidRPr="00E06041">
        <w:rPr>
          <w:rFonts w:ascii="Times New Roman" w:hAnsi="Times New Roman"/>
          <w:sz w:val="28"/>
          <w:szCs w:val="28"/>
          <w:lang w:val="uk-UA" w:eastAsia="ru-RU"/>
        </w:rPr>
        <w:t xml:space="preserve"> №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95684" w:rsidRPr="00E06041">
        <w:rPr>
          <w:rFonts w:ascii="Times New Roman" w:hAnsi="Times New Roman"/>
          <w:sz w:val="28"/>
          <w:szCs w:val="28"/>
          <w:lang w:val="uk-UA" w:eastAsia="ru-RU"/>
        </w:rPr>
        <w:t>43/9 від 24 грудня 2019 року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>, виклавши його в редакції,         що додається.</w:t>
      </w:r>
    </w:p>
    <w:p w:rsidR="000A590D" w:rsidRPr="00E06041" w:rsidRDefault="000A590D" w:rsidP="00E06041">
      <w:pPr>
        <w:pStyle w:val="a6"/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Pr="00E06041" w:rsidRDefault="008A1636" w:rsidP="00E06041">
      <w:pPr>
        <w:pStyle w:val="a6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06041">
        <w:rPr>
          <w:rFonts w:ascii="Times New Roman" w:hAnsi="Times New Roman"/>
          <w:sz w:val="28"/>
          <w:szCs w:val="28"/>
          <w:lang w:val="uk-UA" w:eastAsia="ru-RU"/>
        </w:rPr>
        <w:lastRenderedPageBreak/>
        <w:t>Контроль за виконанням даного рішення покласти на постійн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E06041">
        <w:rPr>
          <w:rFonts w:ascii="Times New Roman" w:hAnsi="Times New Roman"/>
          <w:sz w:val="28"/>
          <w:szCs w:val="28"/>
          <w:lang w:val="uk-UA" w:eastAsia="ru-RU"/>
        </w:rPr>
        <w:t xml:space="preserve"> комісі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ї районної ради з питань духовності,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освіти,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охорони здоров’я,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культури,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молоді і спорту,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соціального захисту населення (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Л.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Русанова) та з питань соціально-економічного розвитку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>,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 xml:space="preserve"> децентралізації,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бюджету і фінансів (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 xml:space="preserve">В. </w:t>
      </w:r>
      <w:r w:rsidR="000A590D" w:rsidRPr="00E06041">
        <w:rPr>
          <w:rFonts w:ascii="Times New Roman" w:hAnsi="Times New Roman"/>
          <w:sz w:val="28"/>
          <w:szCs w:val="28"/>
          <w:lang w:val="uk-UA" w:eastAsia="ru-RU"/>
        </w:rPr>
        <w:t>Лисюк)</w:t>
      </w:r>
      <w:r w:rsidR="008729F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A590D" w:rsidRPr="00E06041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Pr="00E06041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Default="008729F0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Голова </w:t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8729F0">
        <w:rPr>
          <w:rFonts w:ascii="Times New Roman" w:hAnsi="Times New Roman"/>
          <w:b/>
          <w:sz w:val="28"/>
          <w:szCs w:val="28"/>
          <w:lang w:val="uk-UA" w:eastAsia="ru-RU"/>
        </w:rPr>
        <w:t>Віта СЛІПЕЦЬ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3C3D81" w:rsidRDefault="003C3D81">
      <w:pPr>
        <w:spacing w:after="200" w:line="276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3C3D81" w:rsidRDefault="003C3D81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  <w:sectPr w:rsidR="003C3D81" w:rsidSect="008729F0">
          <w:pgSz w:w="11906" w:h="16838"/>
          <w:pgMar w:top="851" w:right="566" w:bottom="993" w:left="1701" w:header="708" w:footer="708" w:gutter="0"/>
          <w:cols w:space="708"/>
          <w:docGrid w:linePitch="360"/>
        </w:sect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4900" w:type="dxa"/>
        <w:tblInd w:w="92" w:type="dxa"/>
        <w:tblLayout w:type="fixed"/>
        <w:tblLook w:val="04A0"/>
      </w:tblPr>
      <w:tblGrid>
        <w:gridCol w:w="6253"/>
        <w:gridCol w:w="851"/>
        <w:gridCol w:w="1134"/>
        <w:gridCol w:w="1134"/>
        <w:gridCol w:w="1134"/>
        <w:gridCol w:w="992"/>
        <w:gridCol w:w="992"/>
        <w:gridCol w:w="1276"/>
        <w:gridCol w:w="1134"/>
      </w:tblGrid>
      <w:tr w:rsidR="003C3D81" w:rsidRPr="003C3D81" w:rsidTr="003C3D81">
        <w:trPr>
          <w:trHeight w:val="85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ЗАТВЕРДЖЕНО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ішення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44 сесії Сватівської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районної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ради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Луганської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області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скликання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C3D81" w:rsidRPr="003C3D81" w:rsidTr="003C3D81">
        <w:trPr>
          <w:trHeight w:val="227"/>
        </w:trPr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27 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лютого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2020 року № 44/10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Проект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Попередній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Уточнений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Зміни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зробити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позначку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"Х"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коди</w:t>
            </w:r>
            <w:proofErr w:type="spellEnd"/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75"/>
        </w:trPr>
        <w:tc>
          <w:tcPr>
            <w:tcW w:w="11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ідприємство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КОМУНАЛЬНЕ НЕКОМЕРЦІЙНЕ ПІДПРИЄМСТВО "СВАТІВСЬКИЙ ЦЕНТР ПЕРВИННОЇ МЕДИКО-САНІТАРНОЇ ДОПОМОГИ" СВАТІВСЬКОЇ РАЙОННОЇ РАДИ ЛУГАНСЬКОЇ ОБЛАСТІ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за ЄДРПОУ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38165140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Організаційно-правова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форма 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Комунальне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ідприємство</w:t>
            </w:r>
            <w:proofErr w:type="spellEnd"/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 КОПФГ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Територія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Сватове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 КОАТУУ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4424010100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Орган державного управління  </w:t>
            </w:r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Сватівська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районна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рада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 СПОДУ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Галузь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Охорона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здоров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"я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 ЗКГНГ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економічної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Загальна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медична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практика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за  КВЕД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86.10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Одиниця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виміру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: тис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Форма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власності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Чисельність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працівників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7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Місцезнаходження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 92600,Луганська область, м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.С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ватове,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провулок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Базарний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1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Телефон 3-31-19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ізвище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ініціали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керівника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Левенець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Раїса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Іванівна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ФІНАНСОВИЙ ПЛАН 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ІДПРИЄМСТВА НА   2020  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рік</w:t>
            </w:r>
            <w:proofErr w:type="spellEnd"/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Основні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фінансові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показники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ідприємства</w:t>
            </w:r>
            <w:proofErr w:type="spellEnd"/>
          </w:p>
        </w:tc>
      </w:tr>
      <w:tr w:rsidR="003C3D81" w:rsidRPr="003C3D81" w:rsidTr="003C3D81">
        <w:trPr>
          <w:trHeight w:val="227"/>
        </w:trPr>
        <w:tc>
          <w:tcPr>
            <w:tcW w:w="14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3C3D81" w:rsidRPr="003C3D81" w:rsidRDefault="003C3D81" w:rsidP="003C3D8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І. </w:t>
            </w:r>
            <w:proofErr w:type="spellStart"/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Формування</w:t>
            </w:r>
            <w:proofErr w:type="spellEnd"/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прибутку</w:t>
            </w:r>
            <w:proofErr w:type="spellEnd"/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ідприємства</w:t>
            </w:r>
            <w:proofErr w:type="spellEnd"/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Код рядка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Плановий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ік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усього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У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тому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числі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C3D81" w:rsidRPr="003C3D81" w:rsidTr="003C3D81">
        <w:trPr>
          <w:trHeight w:val="75"/>
        </w:trPr>
        <w:tc>
          <w:tcPr>
            <w:tcW w:w="6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факт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минулого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фінансовий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план 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поточного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року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 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ІІ 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ІІІ 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ІV квартал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І. 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Фінансові</w:t>
            </w:r>
            <w:proofErr w:type="spellEnd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результати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Доходи і 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операційної</w:t>
            </w:r>
            <w:proofErr w:type="spellEnd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детилізація</w:t>
            </w:r>
            <w:proofErr w:type="spellEnd"/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Arial" w:hAnsi="Arial" w:cs="Arial"/>
                <w:color w:val="00FF00"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color w:val="00FF00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Дохід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виручка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реалізації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продукції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товарів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робіт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послуг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) в.т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.ч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15764,550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14568,000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15914,695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4671,494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4109,787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3522,147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3611,267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Послуг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прогармою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медичних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гарантій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13067,932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13068,000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13281,068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3320,267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3320,267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3320,267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3320,267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Дохід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бюджету за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цільовими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програмами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у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тому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числі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2696,618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2633,627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1351,227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789,520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201,880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291,000</w:t>
            </w:r>
          </w:p>
        </w:tc>
      </w:tr>
      <w:tr w:rsidR="003C3D81" w:rsidRPr="003C3D81" w:rsidTr="003C3D81">
        <w:trPr>
          <w:trHeight w:val="7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Дохід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бюджету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цільового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фінансування на оплату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комунальних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послуг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енергоносіїв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товарі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1087,803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1747,400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299,520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161,880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291,000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lastRenderedPageBreak/>
              <w:t>Централізовані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заходи з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лікування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хворих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цукровий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нецукровий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діабет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Ліки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безкоштовним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рецептам для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ільгових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категорій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громадян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програми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заходи у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сфері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охорони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здоров</w:t>
            </w:r>
            <w:proofErr w:type="gramEnd"/>
            <w:r w:rsidRPr="003C3D81">
              <w:rPr>
                <w:rFonts w:cs="Times New Roman CYR"/>
                <w:i/>
                <w:iCs/>
                <w:sz w:val="18"/>
                <w:szCs w:val="18"/>
                <w:lang w:eastAsia="ru-RU"/>
              </w:rPr>
              <w:t>'</w:t>
            </w: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доходи (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Заробітна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плата з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нарахуванням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ФП)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1591,935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546,227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296,227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Собівартість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реалізованої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продукції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(  </w:t>
            </w:r>
            <w:proofErr w:type="spellStart"/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платні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послуги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послуги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матер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іали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сировину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,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607,730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110,000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медикаменти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перевязувальні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матер</w:t>
            </w:r>
            <w:proofErr w:type="gram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іали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396,104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ремонт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запасні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частини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траспортних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засобі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50,692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господарчі,миючі,будівельні,електро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,с</w:t>
            </w:r>
            <w:proofErr w:type="gram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антехнічні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товари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інвентар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160,934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145,000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35,000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паливо-мастильні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матеріали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355,906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482,000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120,500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комунальні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послуги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енергоносії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, в т.ч.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956,942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605,000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142,120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161,880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291,000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117,127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210,268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210,268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41,268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55,000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водопостачання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природний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газ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745,366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866,852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866,852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100,852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236,000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тверде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паливо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94,449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122,880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122,880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122,880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вив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із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побутових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відходів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1,228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2,988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0,747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0,747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0,747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0,747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праці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8885,964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9868,701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10278,701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2420,141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2719,209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2719,209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2420,142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Відрахування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соц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іальні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заходи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2022,832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2176,800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2266,800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555,557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577,843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577,843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555,557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виконанню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цільових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програм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75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Витрата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, що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здійснюється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для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ідтримання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об</w:t>
            </w:r>
            <w:r w:rsidRPr="003C3D81">
              <w:rPr>
                <w:rFonts w:cs="Times New Roman CYR"/>
                <w:b/>
                <w:bCs/>
                <w:sz w:val="18"/>
                <w:szCs w:val="18"/>
                <w:lang w:eastAsia="ru-RU"/>
              </w:rPr>
              <w:t>'</w:t>
            </w: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єкта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робочому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етапі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ремонту,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технічного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нагляду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тощо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219,984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Амортизація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вартості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лікарських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засобів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484,253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75,000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Адміністративні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у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тому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числі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1730,137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1606,163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1596,163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393,395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401,511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417,361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383,896</w:t>
            </w:r>
          </w:p>
        </w:tc>
      </w:tr>
      <w:tr w:rsidR="003C3D81" w:rsidRPr="003C3D81" w:rsidTr="003C3D81">
        <w:trPr>
          <w:trHeight w:val="75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канцтовари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офісне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приладдя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устаткування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,п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ідписка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періодичні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видання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50,405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39,000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8,750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12,750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8,750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на</w:t>
            </w:r>
            <w:proofErr w:type="gram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страхові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6,850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супровід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програмного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забезпечення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17,890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службові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відрядження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10,000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зв'язок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інтернет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56,235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13,300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праці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1 260,152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1 105,413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1 105,413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267,086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285,621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285,621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267,085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відрахування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соц</w:t>
            </w:r>
            <w:proofErr w:type="gram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іальні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заходи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277,234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243,200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243,200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58,759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62,840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62,840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58,761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обслуговування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оргтехніки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21,125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культурно-масові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заходи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консалтингові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охорону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праці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навчання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працівникі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25,215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інші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адміністративні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у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тому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числі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47,608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84,200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67,400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9,100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3,900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Ннавчання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прграмі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ХЕЛСІ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42,000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42,000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навчання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по тендеру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екологічний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податокта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пеня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9,886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4,500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1,600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адміністративний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збі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0,580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комі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с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я</w:t>
            </w:r>
            <w:proofErr w:type="spellEnd"/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банку за 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користування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рахунком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7,200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1,800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оцінку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майна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на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ідромеререологічні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0,500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реєстрація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перереєстрація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автотранспортних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засобі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27,016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Щорічний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медичний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огляд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працівників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доходи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операційної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в т.ч.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17,321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2,500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дохід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операційної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аренди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активі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11,107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2,000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дохід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реалізації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оборотних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необоротних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активі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0,486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0,500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сстрахове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відшкодування</w:t>
            </w:r>
            <w:proofErr w:type="spell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за ремонт </w:t>
            </w:r>
            <w:proofErr w:type="gram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автотранспортного</w:t>
            </w:r>
            <w:proofErr w:type="gramEnd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засобу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операційної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розшифрувати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5,728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2,500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господарчі,миючі,будівельні,електро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,с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антехнічні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товари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інвентар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11,000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2,500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запчастини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автотранспортних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засобів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5,728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ІІ.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Елементи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операційних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витрат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Матеріальні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1 040,894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1 065,000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1 117,000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401,750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241,250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227,250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246,750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на оплату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праці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10 146,116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10 974,114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11 384,114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2687,227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3004,830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3004,830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2687,227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Відрахування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на </w:t>
            </w:r>
            <w:proofErr w:type="spellStart"/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соц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іальні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заходи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2 300,066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2 420,000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2 510,000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614,316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640,683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640,683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614,318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Амортизація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операційні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1 872,501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1 826,950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2 155,738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1076,947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274,767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349,077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454,947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Разом (сума </w:t>
            </w: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рядків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400-440)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15 359,577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16 286,064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17 166,852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4780,240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4161,530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4221,840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4003,242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ІІІ.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Інвестиційна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діяльність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Доходи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інвестиційної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, у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1 324,484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Доходи з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бюджету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цільового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фінансування по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капітальних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видатках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1 119,429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Капітальні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інвестиції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усього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у</w:t>
            </w:r>
            <w:proofErr w:type="gram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тому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числі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1 324,484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капітальне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будівництво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виготовлення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основних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засобів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1 272,094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4 500,000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виготовлення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інших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необоротнихє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матеріальних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активів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медичне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обладнання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,м</w:t>
            </w:r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едичні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меблі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52,390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створення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нематеріальних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активі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модернизація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модифікація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добудова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дообладнання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основних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ремонт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ІV.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Фінансова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діяльність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Доходи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фінансової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діяльносиі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зобов</w:t>
            </w:r>
            <w:r w:rsidRPr="003C3D81">
              <w:rPr>
                <w:rFonts w:cs="Times New Roman CYR"/>
                <w:sz w:val="18"/>
                <w:szCs w:val="18"/>
                <w:lang w:eastAsia="ru-RU"/>
              </w:rPr>
              <w:t>'</w:t>
            </w: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язання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, у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кредити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позики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депозити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надходження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розшифрувати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від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фінансової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діяльності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зобовязання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, у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кредити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позики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депозити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Інші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витрати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розшифрувати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Усього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доході</w:t>
            </w:r>
            <w:proofErr w:type="gram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16901,300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14 579,000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20 425,695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4 673,994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8 612,787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3 525,147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3 613,767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lastRenderedPageBreak/>
              <w:t>Усього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витрат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16684,061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16 286,064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21 666,852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4 780,240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8 661,530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4 221,840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4 003,242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Фінансовий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результат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-1707,064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-1 241,157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-106,246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-48,743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-696,693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-389,475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V,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Додаткова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інформація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Штатна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чисельність</w:t>
            </w:r>
            <w:proofErr w:type="spellEnd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працівників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Первісна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вартість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основних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засобі</w:t>
            </w:r>
            <w:proofErr w:type="gram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Податкова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заборговваність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Заборгованість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перед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працівниками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заробітною</w:t>
            </w:r>
            <w:proofErr w:type="spellEnd"/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платою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 CYR" w:hAnsi="Times New Roman CYR" w:cs="Times New Roman CYR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D81" w:rsidRPr="003C3D81" w:rsidRDefault="003C3D81" w:rsidP="003C3D81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6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12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Керівник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ідприємства</w:t>
            </w:r>
            <w:proofErr w:type="spellEnd"/>
            <w:r w:rsidRPr="003C3D8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__________________                                                              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</w:tr>
      <w:tr w:rsidR="003C3D81" w:rsidRPr="003C3D81" w:rsidTr="003C3D81">
        <w:trPr>
          <w:trHeight w:val="227"/>
        </w:trPr>
        <w:tc>
          <w:tcPr>
            <w:tcW w:w="11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C3D8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(посада)                                                                                           (</w:t>
            </w:r>
            <w:proofErr w:type="spellStart"/>
            <w:proofErr w:type="gramStart"/>
            <w:r w:rsidRPr="003C3D8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</w:t>
            </w:r>
            <w:proofErr w:type="gramEnd"/>
            <w:r w:rsidRPr="003C3D8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ідпис</w:t>
            </w:r>
            <w:proofErr w:type="spellEnd"/>
            <w:r w:rsidRPr="003C3D8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)                                                                                        (ПІБ)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81" w:rsidRPr="003C3D81" w:rsidRDefault="003C3D81" w:rsidP="003C3D81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</w:p>
        </w:tc>
      </w:tr>
    </w:tbl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Default="00212DE9" w:rsidP="008729F0">
      <w:pPr>
        <w:pStyle w:val="a6"/>
        <w:tabs>
          <w:tab w:val="left" w:pos="7088"/>
        </w:tabs>
        <w:rPr>
          <w:rFonts w:ascii="Times New Roman" w:hAnsi="Times New Roman"/>
          <w:sz w:val="28"/>
          <w:szCs w:val="28"/>
          <w:lang w:val="uk-UA" w:eastAsia="ru-RU"/>
        </w:rPr>
      </w:pPr>
    </w:p>
    <w:p w:rsidR="00212DE9" w:rsidRPr="008729F0" w:rsidRDefault="00212DE9" w:rsidP="00E018B2">
      <w:pPr>
        <w:pStyle w:val="a6"/>
        <w:tabs>
          <w:tab w:val="left" w:pos="7088"/>
        </w:tabs>
        <w:rPr>
          <w:rFonts w:ascii="Times New Roman" w:hAnsi="Times New Roman"/>
          <w:lang w:val="uk-UA"/>
        </w:rPr>
      </w:pPr>
    </w:p>
    <w:sectPr w:rsidR="00212DE9" w:rsidRPr="008729F0" w:rsidSect="003C3D81">
      <w:pgSz w:w="16838" w:h="11906" w:orient="landscape"/>
      <w:pgMar w:top="993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FC8"/>
    <w:multiLevelType w:val="hybridMultilevel"/>
    <w:tmpl w:val="5AA4D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2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A1636"/>
    <w:rsid w:val="000118DF"/>
    <w:rsid w:val="00040A86"/>
    <w:rsid w:val="000A26CA"/>
    <w:rsid w:val="000A5254"/>
    <w:rsid w:val="000A590D"/>
    <w:rsid w:val="00180B73"/>
    <w:rsid w:val="001D5A73"/>
    <w:rsid w:val="00212DE9"/>
    <w:rsid w:val="00227561"/>
    <w:rsid w:val="002936F4"/>
    <w:rsid w:val="002952A8"/>
    <w:rsid w:val="003C3D81"/>
    <w:rsid w:val="00441DE4"/>
    <w:rsid w:val="004441CA"/>
    <w:rsid w:val="004777BE"/>
    <w:rsid w:val="00495CF3"/>
    <w:rsid w:val="004A0AAF"/>
    <w:rsid w:val="004C11C6"/>
    <w:rsid w:val="004F66E9"/>
    <w:rsid w:val="00504F7D"/>
    <w:rsid w:val="00533892"/>
    <w:rsid w:val="00535503"/>
    <w:rsid w:val="006931EC"/>
    <w:rsid w:val="006F1A5E"/>
    <w:rsid w:val="007322A2"/>
    <w:rsid w:val="007445DC"/>
    <w:rsid w:val="0075156D"/>
    <w:rsid w:val="00832709"/>
    <w:rsid w:val="008729F0"/>
    <w:rsid w:val="00886D96"/>
    <w:rsid w:val="008A1636"/>
    <w:rsid w:val="00903A65"/>
    <w:rsid w:val="00976C07"/>
    <w:rsid w:val="00B1058A"/>
    <w:rsid w:val="00B166EA"/>
    <w:rsid w:val="00B63E21"/>
    <w:rsid w:val="00B81E6A"/>
    <w:rsid w:val="00B95684"/>
    <w:rsid w:val="00C02D07"/>
    <w:rsid w:val="00C47400"/>
    <w:rsid w:val="00C75B4D"/>
    <w:rsid w:val="00D517C4"/>
    <w:rsid w:val="00DA1AC7"/>
    <w:rsid w:val="00DC0A98"/>
    <w:rsid w:val="00DD6756"/>
    <w:rsid w:val="00E018B2"/>
    <w:rsid w:val="00E06041"/>
    <w:rsid w:val="00E305BD"/>
    <w:rsid w:val="00E75FDC"/>
    <w:rsid w:val="00ED0518"/>
    <w:rsid w:val="00F71085"/>
    <w:rsid w:val="00F868AB"/>
    <w:rsid w:val="00FE4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  <w:style w:type="paragraph" w:customStyle="1" w:styleId="font5">
    <w:name w:val="font5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font6">
    <w:name w:val="font6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font7">
    <w:name w:val="font7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font8">
    <w:name w:val="font8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font9">
    <w:name w:val="font9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font10">
    <w:name w:val="font10"/>
    <w:basedOn w:val="a"/>
    <w:rsid w:val="00212DE9"/>
    <w:pPr>
      <w:spacing w:before="100" w:beforeAutospacing="1" w:after="100" w:afterAutospacing="1"/>
    </w:pPr>
    <w:rPr>
      <w:lang w:eastAsia="ru-RU"/>
    </w:rPr>
  </w:style>
  <w:style w:type="paragraph" w:customStyle="1" w:styleId="font11">
    <w:name w:val="font11"/>
    <w:basedOn w:val="a"/>
    <w:rsid w:val="00212DE9"/>
    <w:pPr>
      <w:spacing w:before="100" w:beforeAutospacing="1" w:after="100" w:afterAutospacing="1"/>
    </w:pPr>
    <w:rPr>
      <w:i/>
      <w:iCs/>
      <w:lang w:eastAsia="ru-RU"/>
    </w:rPr>
  </w:style>
  <w:style w:type="paragraph" w:customStyle="1" w:styleId="font12">
    <w:name w:val="font12"/>
    <w:basedOn w:val="a"/>
    <w:rsid w:val="00212DE9"/>
    <w:pPr>
      <w:spacing w:before="100" w:beforeAutospacing="1" w:after="100" w:afterAutospacing="1"/>
    </w:pPr>
    <w:rPr>
      <w:b/>
      <w:bCs/>
      <w:lang w:eastAsia="ru-RU"/>
    </w:rPr>
  </w:style>
  <w:style w:type="paragraph" w:customStyle="1" w:styleId="xl65">
    <w:name w:val="xl65"/>
    <w:basedOn w:val="a"/>
    <w:rsid w:val="00212DE9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6">
    <w:name w:val="xl66"/>
    <w:basedOn w:val="a"/>
    <w:rsid w:val="00212DE9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212DE9"/>
    <w:pPr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212DE9"/>
    <w:pPr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212DE9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212DE9"/>
    <w:pPr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1">
    <w:name w:val="xl71"/>
    <w:basedOn w:val="a"/>
    <w:rsid w:val="00212DE9"/>
    <w:pP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72">
    <w:name w:val="xl72"/>
    <w:basedOn w:val="a"/>
    <w:rsid w:val="00212DE9"/>
    <w:pPr>
      <w:spacing w:before="100" w:beforeAutospacing="1" w:after="100" w:afterAutospacing="1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12DE9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212DE9"/>
    <w:pPr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212DE9"/>
    <w:pPr>
      <w:spacing w:before="100" w:beforeAutospacing="1" w:after="100" w:afterAutospacing="1"/>
      <w:textAlignment w:val="center"/>
    </w:pPr>
    <w:rPr>
      <w:rFonts w:ascii="Arial" w:hAnsi="Arial" w:cs="Arial"/>
      <w:i/>
      <w:iCs/>
      <w:lang w:eastAsia="ru-RU"/>
    </w:rPr>
  </w:style>
  <w:style w:type="paragraph" w:customStyle="1" w:styleId="xl76">
    <w:name w:val="xl76"/>
    <w:basedOn w:val="a"/>
    <w:rsid w:val="00212DE9"/>
    <w:pPr>
      <w:spacing w:before="100" w:beforeAutospacing="1" w:after="100" w:afterAutospacing="1"/>
    </w:pPr>
    <w:rPr>
      <w:rFonts w:ascii="Arial" w:hAnsi="Arial" w:cs="Arial"/>
      <w:sz w:val="22"/>
      <w:szCs w:val="22"/>
      <w:lang w:eastAsia="ru-RU"/>
    </w:rPr>
  </w:style>
  <w:style w:type="paragraph" w:customStyle="1" w:styleId="xl77">
    <w:name w:val="xl77"/>
    <w:basedOn w:val="a"/>
    <w:rsid w:val="00212DE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8">
    <w:name w:val="xl78"/>
    <w:basedOn w:val="a"/>
    <w:rsid w:val="00212DE9"/>
    <w:pP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79">
    <w:name w:val="xl79"/>
    <w:basedOn w:val="a"/>
    <w:rsid w:val="00212DE9"/>
    <w:pPr>
      <w:spacing w:before="100" w:beforeAutospacing="1" w:after="100" w:afterAutospacing="1"/>
    </w:pPr>
    <w:rPr>
      <w:rFonts w:ascii="Times New Roman" w:hAnsi="Times New Roman"/>
      <w:b/>
      <w:bCs/>
      <w:i/>
      <w:iCs/>
      <w:lang w:eastAsia="ru-RU"/>
    </w:rPr>
  </w:style>
  <w:style w:type="paragraph" w:customStyle="1" w:styleId="xl80">
    <w:name w:val="xl8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1">
    <w:name w:val="xl8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82">
    <w:name w:val="xl8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83">
    <w:name w:val="xl8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84">
    <w:name w:val="xl8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85">
    <w:name w:val="xl8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86">
    <w:name w:val="xl8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87">
    <w:name w:val="xl8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88">
    <w:name w:val="xl88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89">
    <w:name w:val="xl89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0">
    <w:name w:val="xl90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91">
    <w:name w:val="xl91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92">
    <w:name w:val="xl92"/>
    <w:basedOn w:val="a"/>
    <w:rsid w:val="00212DE9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93">
    <w:name w:val="xl93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4">
    <w:name w:val="xl94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95">
    <w:name w:val="xl95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i/>
      <w:iCs/>
      <w:u w:val="single"/>
      <w:lang w:eastAsia="ru-RU"/>
    </w:rPr>
  </w:style>
  <w:style w:type="paragraph" w:customStyle="1" w:styleId="xl96">
    <w:name w:val="xl96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97">
    <w:name w:val="xl97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98">
    <w:name w:val="xl98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  <w:lang w:eastAsia="ru-RU"/>
    </w:rPr>
  </w:style>
  <w:style w:type="paragraph" w:customStyle="1" w:styleId="xl99">
    <w:name w:val="xl99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0">
    <w:name w:val="xl100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01">
    <w:name w:val="xl101"/>
    <w:basedOn w:val="a"/>
    <w:rsid w:val="00212DE9"/>
    <w:pP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02">
    <w:name w:val="xl10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03">
    <w:name w:val="xl103"/>
    <w:basedOn w:val="a"/>
    <w:rsid w:val="00212DE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04">
    <w:name w:val="xl104"/>
    <w:basedOn w:val="a"/>
    <w:rsid w:val="00212DE9"/>
    <w:pPr>
      <w:pBdr>
        <w:lef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5">
    <w:name w:val="xl105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06">
    <w:name w:val="xl106"/>
    <w:basedOn w:val="a"/>
    <w:rsid w:val="00212D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7">
    <w:name w:val="xl10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8">
    <w:name w:val="xl10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09">
    <w:name w:val="xl109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1">
    <w:name w:val="xl111"/>
    <w:basedOn w:val="a"/>
    <w:rsid w:val="00212DE9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sz w:val="16"/>
      <w:szCs w:val="16"/>
      <w:lang w:eastAsia="ru-RU"/>
    </w:rPr>
  </w:style>
  <w:style w:type="paragraph" w:customStyle="1" w:styleId="xl112">
    <w:name w:val="xl112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3">
    <w:name w:val="xl113"/>
    <w:basedOn w:val="a"/>
    <w:rsid w:val="00212DE9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14">
    <w:name w:val="xl11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5">
    <w:name w:val="xl11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6">
    <w:name w:val="xl11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17">
    <w:name w:val="xl117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18">
    <w:name w:val="xl11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19">
    <w:name w:val="xl11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20">
    <w:name w:val="xl12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1">
    <w:name w:val="xl12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2">
    <w:name w:val="xl122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23">
    <w:name w:val="xl123"/>
    <w:basedOn w:val="a"/>
    <w:rsid w:val="00212D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24">
    <w:name w:val="xl12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5">
    <w:name w:val="xl125"/>
    <w:basedOn w:val="a"/>
    <w:rsid w:val="00212DE9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26">
    <w:name w:val="xl126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27">
    <w:name w:val="xl127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28">
    <w:name w:val="xl128"/>
    <w:basedOn w:val="a"/>
    <w:rsid w:val="00212D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29">
    <w:name w:val="xl12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  <w:lang w:eastAsia="ru-RU"/>
    </w:rPr>
  </w:style>
  <w:style w:type="paragraph" w:customStyle="1" w:styleId="xl130">
    <w:name w:val="xl13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1">
    <w:name w:val="xl13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32">
    <w:name w:val="xl13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3">
    <w:name w:val="xl13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34">
    <w:name w:val="xl13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5">
    <w:name w:val="xl13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36">
    <w:name w:val="xl13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37">
    <w:name w:val="xl13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38">
    <w:name w:val="xl13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39">
    <w:name w:val="xl13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40">
    <w:name w:val="xl140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41">
    <w:name w:val="xl141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42">
    <w:name w:val="xl142"/>
    <w:basedOn w:val="a"/>
    <w:rsid w:val="00212DE9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3">
    <w:name w:val="xl143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44">
    <w:name w:val="xl144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xl145">
    <w:name w:val="xl14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46">
    <w:name w:val="xl14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47">
    <w:name w:val="xl147"/>
    <w:basedOn w:val="a"/>
    <w:rsid w:val="00212DE9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48">
    <w:name w:val="xl148"/>
    <w:basedOn w:val="a"/>
    <w:rsid w:val="00212DE9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4"/>
      <w:szCs w:val="14"/>
      <w:lang w:eastAsia="ru-RU"/>
    </w:rPr>
  </w:style>
  <w:style w:type="paragraph" w:customStyle="1" w:styleId="xl149">
    <w:name w:val="xl149"/>
    <w:basedOn w:val="a"/>
    <w:rsid w:val="00212D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212D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212D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212D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212D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54">
    <w:name w:val="xl15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55">
    <w:name w:val="xl15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56">
    <w:name w:val="xl15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57">
    <w:name w:val="xl15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58">
    <w:name w:val="xl15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59">
    <w:name w:val="xl15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60">
    <w:name w:val="xl16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1">
    <w:name w:val="xl16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2">
    <w:name w:val="xl16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63">
    <w:name w:val="xl16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64">
    <w:name w:val="xl16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65">
    <w:name w:val="xl16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6">
    <w:name w:val="xl16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167">
    <w:name w:val="xl16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8">
    <w:name w:val="xl16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69">
    <w:name w:val="xl16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0">
    <w:name w:val="xl17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1">
    <w:name w:val="xl17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2">
    <w:name w:val="xl172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73">
    <w:name w:val="xl173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4">
    <w:name w:val="xl17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5">
    <w:name w:val="xl175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6">
    <w:name w:val="xl17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7">
    <w:name w:val="xl17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78">
    <w:name w:val="xl17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79">
    <w:name w:val="xl17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0">
    <w:name w:val="xl18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81">
    <w:name w:val="xl18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2">
    <w:name w:val="xl18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3">
    <w:name w:val="xl18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184">
    <w:name w:val="xl184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5">
    <w:name w:val="xl185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6">
    <w:name w:val="xl186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7">
    <w:name w:val="xl187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8">
    <w:name w:val="xl18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89">
    <w:name w:val="xl189"/>
    <w:basedOn w:val="a"/>
    <w:rsid w:val="00212D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ru-RU"/>
    </w:rPr>
  </w:style>
  <w:style w:type="paragraph" w:customStyle="1" w:styleId="xl190">
    <w:name w:val="xl19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1">
    <w:name w:val="xl19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92">
    <w:name w:val="xl19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3">
    <w:name w:val="xl19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94">
    <w:name w:val="xl19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195">
    <w:name w:val="xl19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96">
    <w:name w:val="xl196"/>
    <w:basedOn w:val="a"/>
    <w:rsid w:val="00212DE9"/>
    <w:pPr>
      <w:spacing w:before="100" w:beforeAutospacing="1" w:after="100" w:afterAutospacing="1"/>
      <w:jc w:val="center"/>
    </w:pPr>
    <w:rPr>
      <w:rFonts w:ascii="Times New Roman" w:hAnsi="Times New Roman"/>
      <w:lang w:eastAsia="ru-RU"/>
    </w:rPr>
  </w:style>
  <w:style w:type="paragraph" w:customStyle="1" w:styleId="xl197">
    <w:name w:val="xl19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198">
    <w:name w:val="xl19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eastAsia="ru-RU"/>
    </w:rPr>
  </w:style>
  <w:style w:type="paragraph" w:customStyle="1" w:styleId="xl199">
    <w:name w:val="xl19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0">
    <w:name w:val="xl20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1">
    <w:name w:val="xl20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2">
    <w:name w:val="xl20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3">
    <w:name w:val="xl203"/>
    <w:basedOn w:val="a"/>
    <w:rsid w:val="00212D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204">
    <w:name w:val="xl204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5">
    <w:name w:val="xl20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06">
    <w:name w:val="xl20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7">
    <w:name w:val="xl20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08">
    <w:name w:val="xl208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09">
    <w:name w:val="xl209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0">
    <w:name w:val="xl210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1">
    <w:name w:val="xl211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212">
    <w:name w:val="xl212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13">
    <w:name w:val="xl213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14">
    <w:name w:val="xl214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5">
    <w:name w:val="xl21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16">
    <w:name w:val="xl21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217">
    <w:name w:val="xl21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18">
    <w:name w:val="xl21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19">
    <w:name w:val="xl21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20">
    <w:name w:val="xl220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221">
    <w:name w:val="xl221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22">
    <w:name w:val="xl222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3">
    <w:name w:val="xl223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24">
    <w:name w:val="xl224"/>
    <w:basedOn w:val="a"/>
    <w:rsid w:val="00212D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25">
    <w:name w:val="xl225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i/>
      <w:iCs/>
      <w:lang w:eastAsia="ru-RU"/>
    </w:rPr>
  </w:style>
  <w:style w:type="paragraph" w:customStyle="1" w:styleId="xl226">
    <w:name w:val="xl226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27">
    <w:name w:val="xl227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28">
    <w:name w:val="xl228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29">
    <w:name w:val="xl229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lang w:eastAsia="ru-RU"/>
    </w:rPr>
  </w:style>
  <w:style w:type="paragraph" w:customStyle="1" w:styleId="xl230">
    <w:name w:val="xl23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31">
    <w:name w:val="xl23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2">
    <w:name w:val="xl23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233">
    <w:name w:val="xl23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34">
    <w:name w:val="xl234"/>
    <w:basedOn w:val="a"/>
    <w:rsid w:val="00212D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235">
    <w:name w:val="xl235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36">
    <w:name w:val="xl236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7">
    <w:name w:val="xl23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8">
    <w:name w:val="xl238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39">
    <w:name w:val="xl23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0">
    <w:name w:val="xl24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1">
    <w:name w:val="xl241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242">
    <w:name w:val="xl242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43">
    <w:name w:val="xl243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4">
    <w:name w:val="xl244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45">
    <w:name w:val="xl245"/>
    <w:basedOn w:val="a"/>
    <w:rsid w:val="00212DE9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16"/>
      <w:szCs w:val="16"/>
      <w:lang w:eastAsia="ru-RU"/>
    </w:rPr>
  </w:style>
  <w:style w:type="paragraph" w:customStyle="1" w:styleId="xl246">
    <w:name w:val="xl246"/>
    <w:basedOn w:val="a"/>
    <w:rsid w:val="00212DE9"/>
    <w:pPr>
      <w:spacing w:before="100" w:beforeAutospacing="1" w:after="100" w:afterAutospacing="1"/>
    </w:pPr>
    <w:rPr>
      <w:rFonts w:ascii="Times New Roman" w:hAnsi="Times New Roman"/>
      <w:b/>
      <w:bCs/>
      <w:lang w:eastAsia="ru-RU"/>
    </w:rPr>
  </w:style>
  <w:style w:type="paragraph" w:customStyle="1" w:styleId="xl247">
    <w:name w:val="xl247"/>
    <w:basedOn w:val="a"/>
    <w:rsid w:val="00212D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248">
    <w:name w:val="xl248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49">
    <w:name w:val="xl249"/>
    <w:basedOn w:val="a"/>
    <w:rsid w:val="00212D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lang w:eastAsia="ru-RU"/>
    </w:rPr>
  </w:style>
  <w:style w:type="paragraph" w:customStyle="1" w:styleId="xl250">
    <w:name w:val="xl250"/>
    <w:basedOn w:val="a"/>
    <w:rsid w:val="00212DE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lang w:eastAsia="ru-RU"/>
    </w:rPr>
  </w:style>
  <w:style w:type="paragraph" w:customStyle="1" w:styleId="xl251">
    <w:name w:val="xl251"/>
    <w:basedOn w:val="a"/>
    <w:rsid w:val="00212DE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paragraph" w:customStyle="1" w:styleId="xl252">
    <w:name w:val="xl252"/>
    <w:basedOn w:val="a"/>
    <w:rsid w:val="00212D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lang w:eastAsia="ru-RU"/>
    </w:rPr>
  </w:style>
  <w:style w:type="paragraph" w:customStyle="1" w:styleId="xl253">
    <w:name w:val="xl253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54">
    <w:name w:val="xl254"/>
    <w:basedOn w:val="a"/>
    <w:rsid w:val="00212DE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55">
    <w:name w:val="xl255"/>
    <w:basedOn w:val="a"/>
    <w:rsid w:val="00212D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56">
    <w:name w:val="xl256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257">
    <w:name w:val="xl257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lang w:eastAsia="ru-RU"/>
    </w:rPr>
  </w:style>
  <w:style w:type="paragraph" w:customStyle="1" w:styleId="xl258">
    <w:name w:val="xl258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lang w:eastAsia="ru-RU"/>
    </w:rPr>
  </w:style>
  <w:style w:type="paragraph" w:customStyle="1" w:styleId="xl259">
    <w:name w:val="xl259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FF00"/>
      <w:lang w:eastAsia="ru-RU"/>
    </w:rPr>
  </w:style>
  <w:style w:type="paragraph" w:customStyle="1" w:styleId="xl260">
    <w:name w:val="xl260"/>
    <w:basedOn w:val="a"/>
    <w:rsid w:val="00212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261">
    <w:name w:val="xl261"/>
    <w:basedOn w:val="a"/>
    <w:rsid w:val="00212D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  <w:style w:type="paragraph" w:customStyle="1" w:styleId="xl262">
    <w:name w:val="xl262"/>
    <w:basedOn w:val="a"/>
    <w:rsid w:val="00212D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eastAsia="ru-RU"/>
    </w:rPr>
  </w:style>
  <w:style w:type="character" w:styleId="a8">
    <w:name w:val="Hyperlink"/>
    <w:basedOn w:val="a0"/>
    <w:uiPriority w:val="99"/>
    <w:semiHidden/>
    <w:unhideWhenUsed/>
    <w:rsid w:val="003C3D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C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ЦПМСД Центр</dc:creator>
  <cp:lastModifiedBy>COMPR</cp:lastModifiedBy>
  <cp:revision>2</cp:revision>
  <cp:lastPrinted>2020-02-14T12:19:00Z</cp:lastPrinted>
  <dcterms:created xsi:type="dcterms:W3CDTF">2020-03-05T09:35:00Z</dcterms:created>
  <dcterms:modified xsi:type="dcterms:W3CDTF">2020-03-05T09:35:00Z</dcterms:modified>
</cp:coreProperties>
</file>