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4A0" w:firstRow="1" w:lastRow="0" w:firstColumn="1" w:lastColumn="0" w:noHBand="0" w:noVBand="1"/>
      </w:tblPr>
      <w:tblGrid>
        <w:gridCol w:w="15525"/>
      </w:tblGrid>
      <w:tr w:rsidR="00B95C97" w:rsidRPr="00B95C97" w:rsidTr="00B95C97">
        <w:trPr>
          <w:trHeight w:val="1952"/>
        </w:trPr>
        <w:tc>
          <w:tcPr>
            <w:tcW w:w="15525" w:type="dxa"/>
          </w:tcPr>
          <w:p w:rsidR="00B95C97" w:rsidRPr="00B95C97" w:rsidRDefault="00B95C97" w:rsidP="00F5735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ДО УВАГИ СПОЖИВАЧІВ ТЕПЛОВОЇ ЕНЕРГІЇ!!!</w:t>
            </w:r>
          </w:p>
          <w:p w:rsidR="00772107" w:rsidRDefault="00B95C97" w:rsidP="004E60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«Сватове-тепло» </w:t>
            </w:r>
            <w:r w:rsidR="00EF3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намір</w:t>
            </w:r>
            <w:r w:rsidR="00E15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встановити нові</w:t>
            </w:r>
          </w:p>
          <w:p w:rsidR="00B95C97" w:rsidRPr="00B95C97" w:rsidRDefault="00E15B84" w:rsidP="007721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5C97"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рифи на опалювальний сезон 2020-2021</w:t>
            </w:r>
            <w:r w:rsidR="00B95C97"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  <w:p w:rsidR="00B95C97" w:rsidRDefault="00B95C97" w:rsidP="00F57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Пропозиції та зауваження приймаються </w:t>
            </w:r>
          </w:p>
          <w:p w:rsidR="00B95C97" w:rsidRDefault="00B95C97" w:rsidP="00B95C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електронну адресу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підприємства </w:t>
            </w:r>
            <w:hyperlink r:id="rId8" w:history="1">
              <w:r w:rsidRPr="008F3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svatovo-teplo@ukr.net</w:t>
              </w:r>
            </w:hyperlink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5C97" w:rsidRPr="00B95C97" w:rsidRDefault="00B95C97" w:rsidP="00F5735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7 календарних днів з дня розміщення на сайті.</w:t>
            </w:r>
          </w:p>
        </w:tc>
      </w:tr>
    </w:tbl>
    <w:p w:rsidR="00683F24" w:rsidRPr="00E44FE8" w:rsidRDefault="00683F24" w:rsidP="00683F2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44FE8">
        <w:rPr>
          <w:rFonts w:ascii="Times New Roman" w:hAnsi="Times New Roman" w:cs="Times New Roman"/>
          <w:sz w:val="28"/>
          <w:szCs w:val="28"/>
          <w:lang w:val="uk-UA"/>
        </w:rPr>
        <w:t>Згідно Наказу Міністерства регіонального розвитку, будівництва та житлово-ком</w:t>
      </w:r>
      <w:r w:rsidR="00270305">
        <w:rPr>
          <w:rFonts w:ascii="Times New Roman" w:hAnsi="Times New Roman" w:cs="Times New Roman"/>
          <w:sz w:val="28"/>
          <w:szCs w:val="28"/>
          <w:lang w:val="uk-UA"/>
        </w:rPr>
        <w:t xml:space="preserve">унального господарства України 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130 від 05.06.2018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р. КП «Сватове-тепло»</w:t>
      </w:r>
      <w:r w:rsidR="00E15B84">
        <w:rPr>
          <w:rFonts w:ascii="Times New Roman" w:hAnsi="Times New Roman" w:cs="Times New Roman"/>
          <w:sz w:val="28"/>
          <w:szCs w:val="28"/>
          <w:lang w:val="uk-UA"/>
        </w:rPr>
        <w:t xml:space="preserve"> доводить до відома споживачів інформацію про загальний розмір планового тарифу, його структуру,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B84">
        <w:rPr>
          <w:rFonts w:ascii="Times New Roman" w:hAnsi="Times New Roman" w:cs="Times New Roman"/>
          <w:sz w:val="28"/>
          <w:szCs w:val="28"/>
          <w:lang w:val="uk-UA"/>
        </w:rPr>
        <w:t>причини зміни тарифу з постачання теплової енергії, постачання гарячої води та обґрунтування причин їх зміни.</w:t>
      </w:r>
    </w:p>
    <w:p w:rsidR="00954278" w:rsidRPr="00E44FE8" w:rsidRDefault="00954278" w:rsidP="0095427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Pr="00E44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54278" w:rsidRDefault="00954278" w:rsidP="00954278">
      <w:pPr>
        <w:tabs>
          <w:tab w:val="left" w:pos="420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ТАРИФІВ</w:t>
      </w:r>
    </w:p>
    <w:p w:rsidR="00954278" w:rsidRPr="00F02AF6" w:rsidRDefault="00954278" w:rsidP="00954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F32442">
        <w:rPr>
          <w:rFonts w:ascii="Times New Roman" w:hAnsi="Times New Roman" w:cs="Times New Roman"/>
          <w:b/>
          <w:sz w:val="28"/>
          <w:szCs w:val="28"/>
          <w:lang w:val="uk-UA"/>
        </w:rPr>
        <w:t>пло»  на опалювальний сезон 2020-2021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W w:w="15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134"/>
        <w:gridCol w:w="1276"/>
        <w:gridCol w:w="1276"/>
        <w:gridCol w:w="1417"/>
        <w:gridCol w:w="992"/>
        <w:gridCol w:w="1276"/>
        <w:gridCol w:w="1276"/>
        <w:gridCol w:w="992"/>
        <w:gridCol w:w="567"/>
        <w:gridCol w:w="1134"/>
        <w:gridCol w:w="1134"/>
        <w:gridCol w:w="1087"/>
      </w:tblGrid>
      <w:tr w:rsidR="00954278" w:rsidRPr="007657F0" w:rsidTr="00E15B84">
        <w:trPr>
          <w:trHeight w:val="379"/>
        </w:trPr>
        <w:tc>
          <w:tcPr>
            <w:tcW w:w="1560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я  споживачів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Питома вага 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Відпуск теплової енергії, т.Гкал.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Собівартість.    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1Гкал.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Витрати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, т.грн.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Рентабельн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ість,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буток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, т.грн.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Доходи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озрахункові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ількість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сяц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ь</w:t>
            </w:r>
          </w:p>
        </w:tc>
        <w:tc>
          <w:tcPr>
            <w:tcW w:w="2221" w:type="dxa"/>
            <w:gridSpan w:val="2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Тариф за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послуги з ПДВ</w:t>
            </w:r>
          </w:p>
        </w:tc>
      </w:tr>
      <w:tr w:rsidR="00954278" w:rsidRPr="007657F0" w:rsidTr="00E15B84">
        <w:trPr>
          <w:trHeight w:val="325"/>
        </w:trPr>
        <w:tc>
          <w:tcPr>
            <w:tcW w:w="1560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т.грн.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т.грн.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т.м²/м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т.м³/м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питома вага од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послуги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Гкал.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д.</w:t>
            </w: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4278" w:rsidRPr="007657F0" w:rsidTr="00E15B84">
        <w:trPr>
          <w:trHeight w:val="325"/>
        </w:trPr>
        <w:tc>
          <w:tcPr>
            <w:tcW w:w="1560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т/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нерг. грн./Гкал.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грн./м²</w:t>
            </w:r>
          </w:p>
        </w:tc>
      </w:tr>
      <w:tr w:rsidR="00954278" w:rsidRPr="007657F0" w:rsidTr="00E15B84">
        <w:trPr>
          <w:trHeight w:val="440"/>
        </w:trPr>
        <w:tc>
          <w:tcPr>
            <w:tcW w:w="1560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630" w:rsidRPr="00BA2813" w:rsidTr="00E15B84">
        <w:trPr>
          <w:trHeight w:val="303"/>
        </w:trPr>
        <w:tc>
          <w:tcPr>
            <w:tcW w:w="1560" w:type="dxa"/>
            <w:noWrap/>
            <w:vAlign w:val="center"/>
            <w:hideMark/>
          </w:tcPr>
          <w:p w:rsidR="00883630" w:rsidRPr="00E15B84" w:rsidRDefault="00883630" w:rsidP="00683F2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15B84">
              <w:rPr>
                <w:rFonts w:ascii="Times New Roman" w:hAnsi="Times New Roman" w:cs="Times New Roman"/>
                <w:bCs/>
              </w:rPr>
              <w:t>Вс</w:t>
            </w:r>
            <w:r w:rsidRPr="00E15B84">
              <w:rPr>
                <w:rFonts w:ascii="Times New Roman" w:hAnsi="Times New Roman" w:cs="Times New Roman"/>
                <w:bCs/>
                <w:lang w:val="uk-UA"/>
              </w:rPr>
              <w:t>ього</w:t>
            </w:r>
            <w:r w:rsidRPr="00E15B84">
              <w:rPr>
                <w:rFonts w:ascii="Times New Roman" w:hAnsi="Times New Roman" w:cs="Times New Roman"/>
                <w:bCs/>
              </w:rPr>
              <w:t xml:space="preserve"> по </w:t>
            </w:r>
            <w:r w:rsidRPr="00E15B84">
              <w:rPr>
                <w:rFonts w:ascii="Times New Roman" w:hAnsi="Times New Roman" w:cs="Times New Roman"/>
                <w:bCs/>
                <w:lang w:val="uk-UA"/>
              </w:rPr>
              <w:t>підприємству</w:t>
            </w:r>
          </w:p>
        </w:tc>
        <w:tc>
          <w:tcPr>
            <w:tcW w:w="709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5,274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1954,11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10305,972</w:t>
            </w:r>
          </w:p>
        </w:tc>
        <w:tc>
          <w:tcPr>
            <w:tcW w:w="141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206,119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10512,091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12614,509</w:t>
            </w:r>
          </w:p>
        </w:tc>
        <w:tc>
          <w:tcPr>
            <w:tcW w:w="992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15,646</w:t>
            </w:r>
          </w:p>
        </w:tc>
        <w:tc>
          <w:tcPr>
            <w:tcW w:w="56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2391,83</w:t>
            </w:r>
          </w:p>
        </w:tc>
        <w:tc>
          <w:tcPr>
            <w:tcW w:w="108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3630" w:rsidRPr="00BA2813" w:rsidTr="00E15B84">
        <w:trPr>
          <w:trHeight w:val="516"/>
        </w:trPr>
        <w:tc>
          <w:tcPr>
            <w:tcW w:w="1560" w:type="dxa"/>
            <w:noWrap/>
            <w:vAlign w:val="center"/>
            <w:hideMark/>
          </w:tcPr>
          <w:p w:rsidR="00883630" w:rsidRPr="00E15B84" w:rsidRDefault="00883630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5B84">
              <w:rPr>
                <w:rFonts w:ascii="Times New Roman" w:hAnsi="Times New Roman" w:cs="Times New Roman"/>
                <w:bCs/>
              </w:rPr>
              <w:t>2.1 Бюджет</w:t>
            </w:r>
          </w:p>
        </w:tc>
        <w:tc>
          <w:tcPr>
            <w:tcW w:w="709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5,274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1954,11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10305,972</w:t>
            </w:r>
          </w:p>
        </w:tc>
        <w:tc>
          <w:tcPr>
            <w:tcW w:w="141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206,119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10512,091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12614,509</w:t>
            </w:r>
          </w:p>
        </w:tc>
        <w:tc>
          <w:tcPr>
            <w:tcW w:w="992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2391,83</w:t>
            </w:r>
          </w:p>
        </w:tc>
        <w:tc>
          <w:tcPr>
            <w:tcW w:w="108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3630" w:rsidRPr="00BA2813" w:rsidTr="00E15B84">
        <w:trPr>
          <w:trHeight w:val="470"/>
        </w:trPr>
        <w:tc>
          <w:tcPr>
            <w:tcW w:w="1560" w:type="dxa"/>
            <w:noWrap/>
            <w:vAlign w:val="center"/>
            <w:hideMark/>
          </w:tcPr>
          <w:p w:rsidR="00883630" w:rsidRPr="00E15B84" w:rsidRDefault="00883630" w:rsidP="00683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5B84">
              <w:rPr>
                <w:rFonts w:ascii="Times New Roman" w:hAnsi="Times New Roman" w:cs="Times New Roman"/>
              </w:rPr>
              <w:t>о</w:t>
            </w:r>
            <w:r w:rsidRPr="00E15B84">
              <w:rPr>
                <w:rFonts w:ascii="Times New Roman" w:hAnsi="Times New Roman" w:cs="Times New Roman"/>
                <w:lang w:val="uk-UA"/>
              </w:rPr>
              <w:t>палення</w:t>
            </w:r>
          </w:p>
        </w:tc>
        <w:tc>
          <w:tcPr>
            <w:tcW w:w="709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4,241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1954,11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8287,377</w:t>
            </w:r>
          </w:p>
        </w:tc>
        <w:tc>
          <w:tcPr>
            <w:tcW w:w="141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165,748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8453,125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10143,750</w:t>
            </w:r>
          </w:p>
        </w:tc>
        <w:tc>
          <w:tcPr>
            <w:tcW w:w="992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15,646</w:t>
            </w:r>
          </w:p>
        </w:tc>
        <w:tc>
          <w:tcPr>
            <w:tcW w:w="56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0,04517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2391,83</w:t>
            </w:r>
          </w:p>
        </w:tc>
        <w:tc>
          <w:tcPr>
            <w:tcW w:w="108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108,05</w:t>
            </w:r>
          </w:p>
        </w:tc>
      </w:tr>
      <w:tr w:rsidR="00883630" w:rsidRPr="00BA2813" w:rsidTr="00E15B84">
        <w:trPr>
          <w:trHeight w:val="394"/>
        </w:trPr>
        <w:tc>
          <w:tcPr>
            <w:tcW w:w="1560" w:type="dxa"/>
            <w:noWrap/>
            <w:vAlign w:val="center"/>
            <w:hideMark/>
          </w:tcPr>
          <w:p w:rsidR="00883630" w:rsidRPr="00E15B84" w:rsidRDefault="00883630" w:rsidP="00683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5B84">
              <w:rPr>
                <w:rFonts w:ascii="Times New Roman" w:hAnsi="Times New Roman" w:cs="Times New Roman"/>
              </w:rPr>
              <w:t>ГВП</w:t>
            </w:r>
          </w:p>
        </w:tc>
        <w:tc>
          <w:tcPr>
            <w:tcW w:w="709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1,033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1954,11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2018,595</w:t>
            </w:r>
          </w:p>
        </w:tc>
        <w:tc>
          <w:tcPr>
            <w:tcW w:w="141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40,371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2058,966</w:t>
            </w:r>
          </w:p>
        </w:tc>
        <w:tc>
          <w:tcPr>
            <w:tcW w:w="1276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2470,759</w:t>
            </w:r>
          </w:p>
        </w:tc>
        <w:tc>
          <w:tcPr>
            <w:tcW w:w="992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bCs/>
                <w:sz w:val="18"/>
                <w:szCs w:val="18"/>
              </w:rPr>
              <w:t>2391,83</w:t>
            </w:r>
          </w:p>
        </w:tc>
        <w:tc>
          <w:tcPr>
            <w:tcW w:w="1087" w:type="dxa"/>
            <w:noWrap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3630" w:rsidRPr="00683F24" w:rsidTr="00E15B84">
        <w:trPr>
          <w:trHeight w:val="425"/>
        </w:trPr>
        <w:tc>
          <w:tcPr>
            <w:tcW w:w="1560" w:type="dxa"/>
            <w:noWrap/>
            <w:vAlign w:val="center"/>
            <w:hideMark/>
          </w:tcPr>
          <w:p w:rsidR="00883630" w:rsidRPr="00683F24" w:rsidRDefault="00883630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noWrap/>
            <w:vAlign w:val="center"/>
          </w:tcPr>
          <w:p w:rsidR="00883630" w:rsidRDefault="008836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F32442" w:rsidRDefault="00F32442" w:rsidP="00954278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Default="00954278" w:rsidP="00954278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таблиці 1 видно, що р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озрахунок тарифів на послуги з </w:t>
      </w:r>
      <w:r w:rsidR="00E15B84">
        <w:rPr>
          <w:rFonts w:ascii="Times New Roman" w:hAnsi="Times New Roman" w:cs="Times New Roman"/>
          <w:sz w:val="28"/>
          <w:szCs w:val="28"/>
          <w:lang w:val="uk-UA"/>
        </w:rPr>
        <w:t>постачання теплової енергії, постачання гарячої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B84">
        <w:rPr>
          <w:rFonts w:ascii="Times New Roman" w:hAnsi="Times New Roman" w:cs="Times New Roman"/>
          <w:sz w:val="28"/>
          <w:szCs w:val="28"/>
          <w:lang w:val="uk-UA"/>
        </w:rPr>
        <w:t xml:space="preserve">води 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для бюджетних організацій склав </w:t>
      </w:r>
      <w:r w:rsidR="00883630">
        <w:rPr>
          <w:rFonts w:ascii="Times New Roman" w:hAnsi="Times New Roman" w:cs="Times New Roman"/>
          <w:sz w:val="28"/>
          <w:szCs w:val="28"/>
          <w:lang w:val="uk-UA"/>
        </w:rPr>
        <w:t>2391 грн. 8</w:t>
      </w:r>
      <w:r w:rsidR="00F324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з ПДВ </w:t>
      </w:r>
      <w:r w:rsidR="00C31439">
        <w:rPr>
          <w:rFonts w:ascii="Times New Roman" w:hAnsi="Times New Roman" w:cs="Times New Roman"/>
          <w:sz w:val="28"/>
          <w:szCs w:val="28"/>
          <w:lang w:val="uk-UA"/>
        </w:rPr>
        <w:t>на опалювальний сезон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дл</w:t>
      </w:r>
      <w:r w:rsidR="00683F24">
        <w:rPr>
          <w:rFonts w:ascii="Times New Roman" w:hAnsi="Times New Roman" w:cs="Times New Roman"/>
          <w:sz w:val="28"/>
          <w:szCs w:val="28"/>
          <w:lang w:val="uk-UA"/>
        </w:rPr>
        <w:t xml:space="preserve">я гуртожитку </w:t>
      </w:r>
      <w:r w:rsidR="00F86B4C">
        <w:rPr>
          <w:rFonts w:ascii="Times New Roman" w:hAnsi="Times New Roman" w:cs="Times New Roman"/>
          <w:sz w:val="28"/>
          <w:szCs w:val="28"/>
          <w:lang w:val="uk-UA"/>
        </w:rPr>
        <w:t xml:space="preserve">Сватівської обласної спеціальної школи </w:t>
      </w:r>
      <w:r w:rsidR="00683F2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883630">
        <w:rPr>
          <w:rFonts w:ascii="Times New Roman" w:hAnsi="Times New Roman" w:cs="Times New Roman"/>
          <w:sz w:val="28"/>
          <w:szCs w:val="28"/>
          <w:lang w:val="uk-UA"/>
        </w:rPr>
        <w:t>391 грн. 8</w:t>
      </w:r>
      <w:r w:rsidR="00F324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коп. за 1 Гкал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з ПДВ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278" w:rsidRPr="00E44FE8" w:rsidRDefault="00954278" w:rsidP="00954278">
      <w:pPr>
        <w:tabs>
          <w:tab w:val="left" w:pos="4890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3630">
        <w:rPr>
          <w:rFonts w:ascii="Times New Roman" w:hAnsi="Times New Roman" w:cs="Times New Roman"/>
          <w:sz w:val="28"/>
          <w:szCs w:val="28"/>
          <w:lang w:val="uk-UA"/>
        </w:rPr>
        <w:t>0305</w:t>
      </w:r>
      <w:r w:rsidR="005147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3630">
        <w:rPr>
          <w:rFonts w:ascii="Times New Roman" w:hAnsi="Times New Roman" w:cs="Times New Roman"/>
          <w:sz w:val="28"/>
          <w:szCs w:val="28"/>
          <w:lang w:val="uk-UA"/>
        </w:rPr>
        <w:t>972</w:t>
      </w:r>
      <w:r w:rsidR="0038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. грн., </w:t>
      </w:r>
      <w:r w:rsidR="00883630">
        <w:rPr>
          <w:rFonts w:ascii="Times New Roman" w:hAnsi="Times New Roman" w:cs="Times New Roman"/>
          <w:sz w:val="28"/>
          <w:szCs w:val="28"/>
          <w:lang w:val="uk-UA"/>
        </w:rPr>
        <w:t>прибуток –206,119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доходи </w:t>
      </w:r>
      <w:r w:rsidR="00883630">
        <w:rPr>
          <w:rFonts w:ascii="Times New Roman" w:hAnsi="Times New Roman" w:cs="Times New Roman"/>
          <w:sz w:val="28"/>
          <w:szCs w:val="28"/>
          <w:lang w:val="uk-UA"/>
        </w:rPr>
        <w:t>з ПДВ - 12614</w:t>
      </w:r>
      <w:r w:rsidR="00F064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3630">
        <w:rPr>
          <w:rFonts w:ascii="Times New Roman" w:hAnsi="Times New Roman" w:cs="Times New Roman"/>
          <w:sz w:val="28"/>
          <w:szCs w:val="28"/>
          <w:lang w:val="uk-UA"/>
        </w:rPr>
        <w:t>509</w:t>
      </w:r>
      <w:r w:rsidR="00BE3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.грн</w:t>
      </w:r>
      <w:r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</w:p>
    <w:p w:rsidR="000E1A59" w:rsidRPr="00A372A3" w:rsidRDefault="000E1A59" w:rsidP="000E1A59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таблиці 2 наведена структура витрат </w:t>
      </w:r>
      <w:r w:rsidR="00BA1296"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32442">
        <w:rPr>
          <w:rFonts w:ascii="Times New Roman" w:hAnsi="Times New Roman" w:cs="Times New Roman"/>
          <w:sz w:val="28"/>
          <w:szCs w:val="28"/>
          <w:lang w:val="uk-UA"/>
        </w:rPr>
        <w:t>рифів на опалювальний сезон 2020-2021</w:t>
      </w:r>
      <w:r w:rsidRPr="00A372A3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0E1A59" w:rsidRDefault="000E1A59" w:rsidP="000E1A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0E1A59" w:rsidRPr="00F87F9A" w:rsidRDefault="000E1A59" w:rsidP="000E1A59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F87F9A">
        <w:rPr>
          <w:rFonts w:ascii="Times New Roman" w:hAnsi="Times New Roman" w:cs="Times New Roman"/>
          <w:b/>
          <w:sz w:val="32"/>
          <w:szCs w:val="32"/>
          <w:lang w:val="uk-UA"/>
        </w:rPr>
        <w:t>Таблиця 2</w:t>
      </w:r>
    </w:p>
    <w:p w:rsidR="000E1A59" w:rsidRPr="00F772CD" w:rsidRDefault="000E1A59" w:rsidP="000E1A59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витрат за статтями витрат при </w:t>
      </w:r>
      <w:r w:rsidR="00BA1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розрахунку </w:t>
      </w: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>тарифів</w:t>
      </w:r>
    </w:p>
    <w:p w:rsidR="000E1A59" w:rsidRPr="00F772CD" w:rsidRDefault="000E1A59" w:rsidP="000E1A59">
      <w:pPr>
        <w:spacing w:after="0" w:line="240" w:lineRule="auto"/>
        <w:jc w:val="center"/>
        <w:rPr>
          <w:lang w:val="uk-UA"/>
        </w:rPr>
      </w:pP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</w:t>
      </w:r>
      <w:r w:rsidR="00F32442">
        <w:rPr>
          <w:rFonts w:ascii="Times New Roman" w:hAnsi="Times New Roman" w:cs="Times New Roman"/>
          <w:b/>
          <w:sz w:val="28"/>
          <w:szCs w:val="28"/>
          <w:lang w:val="uk-UA"/>
        </w:rPr>
        <w:t>льний сезон 2020-2021</w:t>
      </w: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pPr w:leftFromText="180" w:rightFromText="180" w:vertAnchor="text" w:horzAnchor="margin" w:tblpXSpec="center" w:tblpY="373"/>
        <w:tblW w:w="0" w:type="auto"/>
        <w:tblLook w:val="04A0" w:firstRow="1" w:lastRow="0" w:firstColumn="1" w:lastColumn="0" w:noHBand="0" w:noVBand="1"/>
      </w:tblPr>
      <w:tblGrid>
        <w:gridCol w:w="680"/>
        <w:gridCol w:w="2252"/>
        <w:gridCol w:w="920"/>
        <w:gridCol w:w="1771"/>
        <w:gridCol w:w="1289"/>
        <w:gridCol w:w="1486"/>
        <w:gridCol w:w="1360"/>
        <w:gridCol w:w="1371"/>
        <w:gridCol w:w="1217"/>
        <w:gridCol w:w="1062"/>
      </w:tblGrid>
      <w:tr w:rsidR="000E1A59" w:rsidRPr="00972A10" w:rsidTr="000E1A59">
        <w:trPr>
          <w:trHeight w:val="243"/>
        </w:trPr>
        <w:tc>
          <w:tcPr>
            <w:tcW w:w="680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0E1A59" w:rsidRPr="000E1A59" w:rsidRDefault="000E1A59" w:rsidP="000E1A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Од. вим.</w:t>
            </w:r>
          </w:p>
        </w:tc>
        <w:tc>
          <w:tcPr>
            <w:tcW w:w="4546" w:type="dxa"/>
            <w:gridSpan w:val="3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Повна собівартість</w:t>
            </w:r>
          </w:p>
        </w:tc>
        <w:tc>
          <w:tcPr>
            <w:tcW w:w="5010" w:type="dxa"/>
            <w:gridSpan w:val="4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1A59">
              <w:rPr>
                <w:rFonts w:ascii="Times New Roman" w:hAnsi="Times New Roman" w:cs="Times New Roman"/>
                <w:b/>
              </w:rPr>
              <w:t xml:space="preserve">Бюджет та </w:t>
            </w:r>
            <w:r w:rsidRPr="000E1A59">
              <w:rPr>
                <w:rFonts w:ascii="Times New Roman" w:hAnsi="Times New Roman" w:cs="Times New Roman"/>
                <w:b/>
                <w:lang w:val="uk-UA"/>
              </w:rPr>
              <w:t>інш.</w:t>
            </w:r>
          </w:p>
        </w:tc>
      </w:tr>
      <w:tr w:rsidR="000E1A59" w:rsidRPr="00972A10" w:rsidTr="000E1A59">
        <w:trPr>
          <w:trHeight w:val="230"/>
        </w:trPr>
        <w:tc>
          <w:tcPr>
            <w:tcW w:w="68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0E1A59" w:rsidRPr="000E1A59" w:rsidRDefault="000E1A59" w:rsidP="000E1A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9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грн. на 1 Гкал</w:t>
            </w:r>
          </w:p>
        </w:tc>
        <w:tc>
          <w:tcPr>
            <w:tcW w:w="1486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5010" w:type="dxa"/>
            <w:gridSpan w:val="4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1A59" w:rsidRPr="00972A10" w:rsidTr="000E1A59">
        <w:trPr>
          <w:trHeight w:val="156"/>
        </w:trPr>
        <w:tc>
          <w:tcPr>
            <w:tcW w:w="68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0E1A59" w:rsidRPr="000E1A59" w:rsidRDefault="000E1A59" w:rsidP="000E1A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тис. Гкал</w:t>
            </w:r>
          </w:p>
        </w:tc>
        <w:tc>
          <w:tcPr>
            <w:tcW w:w="1371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217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грн. на 1 Гкал</w:t>
            </w:r>
          </w:p>
        </w:tc>
        <w:tc>
          <w:tcPr>
            <w:tcW w:w="1062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A05123" w:rsidRPr="00E872C7" w:rsidTr="000E1A59">
        <w:trPr>
          <w:trHeight w:val="501"/>
        </w:trPr>
        <w:tc>
          <w:tcPr>
            <w:tcW w:w="680" w:type="dxa"/>
            <w:vAlign w:val="center"/>
          </w:tcPr>
          <w:p w:rsidR="00A05123" w:rsidRPr="00972A10" w:rsidRDefault="00A0512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52" w:type="dxa"/>
            <w:vAlign w:val="center"/>
          </w:tcPr>
          <w:p w:rsidR="00A05123" w:rsidRPr="00972A10" w:rsidRDefault="00A0512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920" w:type="dxa"/>
            <w:vAlign w:val="center"/>
          </w:tcPr>
          <w:p w:rsidR="00A05123" w:rsidRPr="00972A10" w:rsidRDefault="00A0512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</w:p>
        </w:tc>
        <w:tc>
          <w:tcPr>
            <w:tcW w:w="1771" w:type="dxa"/>
            <w:vAlign w:val="center"/>
          </w:tcPr>
          <w:p w:rsidR="00A05123" w:rsidRPr="00883630" w:rsidRDefault="00A05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5,274</w:t>
            </w:r>
          </w:p>
        </w:tc>
        <w:tc>
          <w:tcPr>
            <w:tcW w:w="1289" w:type="dxa"/>
            <w:vAlign w:val="center"/>
          </w:tcPr>
          <w:p w:rsidR="00A05123" w:rsidRPr="00883630" w:rsidRDefault="00A05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1952,39</w:t>
            </w:r>
          </w:p>
        </w:tc>
        <w:tc>
          <w:tcPr>
            <w:tcW w:w="1486" w:type="dxa"/>
            <w:vAlign w:val="center"/>
          </w:tcPr>
          <w:p w:rsidR="00A05123" w:rsidRPr="00883630" w:rsidRDefault="00A05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360" w:type="dxa"/>
            <w:vAlign w:val="center"/>
          </w:tcPr>
          <w:p w:rsidR="00A05123" w:rsidRPr="00883630" w:rsidRDefault="00A05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5,274</w:t>
            </w:r>
          </w:p>
        </w:tc>
        <w:tc>
          <w:tcPr>
            <w:tcW w:w="1371" w:type="dxa"/>
            <w:vAlign w:val="center"/>
          </w:tcPr>
          <w:p w:rsidR="00A05123" w:rsidRPr="00883630" w:rsidRDefault="00A05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10296,930</w:t>
            </w:r>
          </w:p>
        </w:tc>
        <w:tc>
          <w:tcPr>
            <w:tcW w:w="1217" w:type="dxa"/>
            <w:vAlign w:val="center"/>
          </w:tcPr>
          <w:p w:rsidR="00A05123" w:rsidRPr="00883630" w:rsidRDefault="00A05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1952,39</w:t>
            </w:r>
          </w:p>
        </w:tc>
        <w:tc>
          <w:tcPr>
            <w:tcW w:w="1062" w:type="dxa"/>
            <w:vAlign w:val="center"/>
          </w:tcPr>
          <w:p w:rsidR="00A05123" w:rsidRPr="00883630" w:rsidRDefault="00A05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05123" w:rsidRPr="00E872C7" w:rsidTr="000E1A59">
        <w:trPr>
          <w:trHeight w:val="243"/>
        </w:trPr>
        <w:tc>
          <w:tcPr>
            <w:tcW w:w="680" w:type="dxa"/>
            <w:vAlign w:val="center"/>
          </w:tcPr>
          <w:p w:rsidR="00A05123" w:rsidRPr="00972A10" w:rsidRDefault="00A0512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A05123" w:rsidRPr="00972A10" w:rsidRDefault="00A05123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Align w:val="center"/>
          </w:tcPr>
          <w:p w:rsidR="00A05123" w:rsidRPr="00972A10" w:rsidRDefault="00A05123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Align w:val="center"/>
          </w:tcPr>
          <w:p w:rsidR="00A05123" w:rsidRPr="00883630" w:rsidRDefault="00A05123" w:rsidP="000E1A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A05123" w:rsidRPr="00883630" w:rsidRDefault="00A05123" w:rsidP="000E1A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A05123" w:rsidRPr="00883630" w:rsidRDefault="00A05123" w:rsidP="000E1A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05123" w:rsidRPr="00883630" w:rsidRDefault="00A05123" w:rsidP="000E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05123" w:rsidRPr="00883630" w:rsidRDefault="00A05123" w:rsidP="000E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05123" w:rsidRPr="00883630" w:rsidRDefault="00A05123" w:rsidP="000E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A05123" w:rsidRPr="00883630" w:rsidRDefault="00A05123" w:rsidP="000E1A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3630" w:rsidRPr="00E872C7" w:rsidTr="000E1A59">
        <w:trPr>
          <w:trHeight w:val="501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92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9251,143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1754,10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9251,143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1754,10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883630" w:rsidRPr="00E872C7" w:rsidTr="000E1A59">
        <w:trPr>
          <w:trHeight w:val="485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6875,479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1303,65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6875,479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1303,65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883630" w:rsidRPr="00E872C7" w:rsidTr="000E1A59">
        <w:trPr>
          <w:trHeight w:val="485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5748,103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1089,90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5748,103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1089,90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883630" w:rsidRPr="00E872C7" w:rsidTr="000E1A59">
        <w:trPr>
          <w:trHeight w:val="243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4466,234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846,84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4466,234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846,84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883630" w:rsidRPr="00E872C7" w:rsidTr="000E1A59">
        <w:trPr>
          <w:trHeight w:val="243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964,745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182,92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964,745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182,92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883630" w:rsidRPr="00E872C7" w:rsidTr="000E1A59">
        <w:trPr>
          <w:trHeight w:val="243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311,617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59,09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311,617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59,09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83630" w:rsidRPr="00E872C7" w:rsidTr="000E1A59">
        <w:trPr>
          <w:trHeight w:val="243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5,507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5,507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883630" w:rsidRPr="00E872C7" w:rsidTr="000E1A59">
        <w:trPr>
          <w:trHeight w:val="501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924,079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175,21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924,079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175,21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83630" w:rsidRPr="00E872C7" w:rsidTr="000E1A59">
        <w:trPr>
          <w:trHeight w:val="485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203,297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38,55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203,297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38,55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83630" w:rsidRPr="00E872C7" w:rsidTr="000E1A59">
        <w:trPr>
          <w:trHeight w:val="485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по заробітній платі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203,297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38,55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203,297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38,55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83630" w:rsidRPr="00E872C7" w:rsidTr="000E1A59">
        <w:trPr>
          <w:trHeight w:val="485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2375,664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450,45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2375,664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450,45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883630" w:rsidRPr="00E872C7" w:rsidTr="000E1A59">
        <w:trPr>
          <w:trHeight w:val="501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581,352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110,24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581,352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110,24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883630" w:rsidRPr="00E872C7" w:rsidTr="000E1A59">
        <w:trPr>
          <w:trHeight w:val="243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473,477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89,78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473,477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89,78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883630" w:rsidRPr="00E872C7" w:rsidTr="000E1A59">
        <w:trPr>
          <w:trHeight w:val="501"/>
        </w:trPr>
        <w:tc>
          <w:tcPr>
            <w:tcW w:w="680" w:type="dxa"/>
            <w:vAlign w:val="center"/>
          </w:tcPr>
          <w:p w:rsidR="00883630" w:rsidRPr="00972A10" w:rsidRDefault="00883630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883630" w:rsidRPr="00972A10" w:rsidRDefault="00883630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920" w:type="dxa"/>
          </w:tcPr>
          <w:p w:rsidR="00883630" w:rsidRPr="00972A10" w:rsidRDefault="00883630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10305,972</w:t>
            </w:r>
          </w:p>
        </w:tc>
        <w:tc>
          <w:tcPr>
            <w:tcW w:w="1289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1954,11</w:t>
            </w:r>
          </w:p>
        </w:tc>
        <w:tc>
          <w:tcPr>
            <w:tcW w:w="1486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10305,972</w:t>
            </w:r>
          </w:p>
        </w:tc>
        <w:tc>
          <w:tcPr>
            <w:tcW w:w="1217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bCs/>
                <w:sz w:val="20"/>
                <w:szCs w:val="20"/>
              </w:rPr>
              <w:t>1954,11</w:t>
            </w:r>
          </w:p>
        </w:tc>
        <w:tc>
          <w:tcPr>
            <w:tcW w:w="1062" w:type="dxa"/>
            <w:vAlign w:val="center"/>
          </w:tcPr>
          <w:p w:rsidR="00883630" w:rsidRPr="00883630" w:rsidRDefault="0088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54278" w:rsidRDefault="00954278" w:rsidP="0095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Pr="00972A10" w:rsidRDefault="00954278" w:rsidP="00954278">
      <w:pPr>
        <w:spacing w:after="0"/>
        <w:rPr>
          <w:lang w:val="uk-UA"/>
        </w:rPr>
      </w:pPr>
    </w:p>
    <w:p w:rsidR="00954278" w:rsidRPr="00972A10" w:rsidRDefault="00954278" w:rsidP="00954278">
      <w:pPr>
        <w:rPr>
          <w:lang w:val="uk-UA"/>
        </w:rPr>
      </w:pPr>
    </w:p>
    <w:p w:rsidR="00954278" w:rsidRDefault="00954278" w:rsidP="00954278">
      <w:pPr>
        <w:rPr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</w:t>
      </w: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E1A59" w:rsidRDefault="000E1A59" w:rsidP="000E1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380" w:rsidRDefault="009D3380" w:rsidP="000E1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380" w:rsidRDefault="009D3380" w:rsidP="000E1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A59" w:rsidRPr="00851938" w:rsidRDefault="000E1A59" w:rsidP="000E1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938">
        <w:rPr>
          <w:rFonts w:ascii="Times New Roman" w:hAnsi="Times New Roman" w:cs="Times New Roman"/>
          <w:sz w:val="28"/>
          <w:szCs w:val="28"/>
          <w:lang w:val="uk-UA"/>
        </w:rPr>
        <w:lastRenderedPageBreak/>
        <w:t>В таблиці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наведені</w:t>
      </w:r>
      <w:r w:rsidRPr="0085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причин зміни тарифу</w:t>
      </w:r>
    </w:p>
    <w:p w:rsidR="00A02E61" w:rsidRDefault="00A02E61" w:rsidP="000E1A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E1A59" w:rsidRDefault="000E1A59" w:rsidP="000E1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3</w:t>
      </w:r>
    </w:p>
    <w:p w:rsidR="000E1A59" w:rsidRDefault="000E1A59" w:rsidP="000E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4E60E6" w:rsidRDefault="004E60E6" w:rsidP="000E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0E6" w:rsidRDefault="00A05123" w:rsidP="004E60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опалювальний період 2020-2021</w:t>
      </w:r>
      <w:r w:rsidR="000E1A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рр.,  пов’язаних </w:t>
      </w:r>
    </w:p>
    <w:p w:rsidR="004E60E6" w:rsidRDefault="004E60E6" w:rsidP="000E1A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наданням послуг з постачання теплової енергії, </w:t>
      </w:r>
    </w:p>
    <w:p w:rsidR="000E1A59" w:rsidRDefault="004E60E6" w:rsidP="000E1A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постачання гарячої води </w:t>
      </w:r>
      <w:r w:rsidR="000E1A59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 w:rsidR="000E1A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="000E1A59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0E1A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page" w:tblpX="1228" w:tblpY="169"/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1637"/>
        <w:gridCol w:w="1629"/>
        <w:gridCol w:w="1600"/>
        <w:gridCol w:w="1668"/>
        <w:gridCol w:w="1645"/>
        <w:gridCol w:w="2430"/>
      </w:tblGrid>
      <w:tr w:rsidR="009E48AA" w:rsidRPr="001C213C" w:rsidTr="009E48AA">
        <w:trPr>
          <w:trHeight w:val="372"/>
        </w:trPr>
        <w:tc>
          <w:tcPr>
            <w:tcW w:w="3553" w:type="dxa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637" w:type="dxa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229" w:type="dxa"/>
            <w:gridSpan w:val="2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3313" w:type="dxa"/>
            <w:gridSpan w:val="2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2430" w:type="dxa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6C0F3D" w:rsidRPr="001C213C" w:rsidTr="006C0F3D">
        <w:trPr>
          <w:trHeight w:val="630"/>
        </w:trPr>
        <w:tc>
          <w:tcPr>
            <w:tcW w:w="3553" w:type="dxa"/>
            <w:vAlign w:val="center"/>
          </w:tcPr>
          <w:p w:rsidR="006C0F3D" w:rsidRPr="001C213C" w:rsidRDefault="006C0F3D" w:rsidP="00E8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637" w:type="dxa"/>
            <w:vAlign w:val="center"/>
          </w:tcPr>
          <w:p w:rsidR="006C0F3D" w:rsidRPr="001C213C" w:rsidRDefault="006C0F3D" w:rsidP="00E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</w:p>
        </w:tc>
        <w:tc>
          <w:tcPr>
            <w:tcW w:w="3229" w:type="dxa"/>
            <w:gridSpan w:val="2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5,218</w:t>
            </w:r>
          </w:p>
        </w:tc>
        <w:tc>
          <w:tcPr>
            <w:tcW w:w="3313" w:type="dxa"/>
            <w:gridSpan w:val="2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5,274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6C0F3D" w:rsidRPr="001C213C" w:rsidTr="006C0F3D">
        <w:trPr>
          <w:trHeight w:val="351"/>
        </w:trPr>
        <w:tc>
          <w:tcPr>
            <w:tcW w:w="3553" w:type="dxa"/>
            <w:vAlign w:val="center"/>
          </w:tcPr>
          <w:p w:rsidR="006C0F3D" w:rsidRPr="001C213C" w:rsidRDefault="006C0F3D" w:rsidP="00E8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637" w:type="dxa"/>
            <w:vAlign w:val="center"/>
          </w:tcPr>
          <w:p w:rsidR="006C0F3D" w:rsidRPr="001C213C" w:rsidRDefault="006C0F3D" w:rsidP="00E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3229" w:type="dxa"/>
            <w:gridSpan w:val="2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10102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083</w:t>
            </w:r>
          </w:p>
        </w:tc>
        <w:tc>
          <w:tcPr>
            <w:tcW w:w="3313" w:type="dxa"/>
            <w:gridSpan w:val="2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10305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203,89</w:t>
            </w:r>
          </w:p>
        </w:tc>
      </w:tr>
      <w:tr w:rsidR="006C0F3D" w:rsidRPr="001C213C" w:rsidTr="006C0F3D">
        <w:trPr>
          <w:trHeight w:val="412"/>
        </w:trPr>
        <w:tc>
          <w:tcPr>
            <w:tcW w:w="3553" w:type="dxa"/>
            <w:vAlign w:val="center"/>
          </w:tcPr>
          <w:p w:rsidR="006C0F3D" w:rsidRPr="001C213C" w:rsidRDefault="006C0F3D" w:rsidP="00E8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637" w:type="dxa"/>
            <w:vAlign w:val="center"/>
          </w:tcPr>
          <w:p w:rsidR="006C0F3D" w:rsidRPr="001C213C" w:rsidRDefault="006C0F3D" w:rsidP="00E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грн./Гкал</w:t>
            </w:r>
          </w:p>
        </w:tc>
        <w:tc>
          <w:tcPr>
            <w:tcW w:w="3229" w:type="dxa"/>
            <w:gridSpan w:val="2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1936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313" w:type="dxa"/>
            <w:gridSpan w:val="2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1954,11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18,10</w:t>
            </w:r>
          </w:p>
        </w:tc>
      </w:tr>
      <w:tr w:rsidR="006C0F3D" w:rsidRPr="001C213C" w:rsidTr="006C0F3D">
        <w:trPr>
          <w:trHeight w:val="285"/>
        </w:trPr>
        <w:tc>
          <w:tcPr>
            <w:tcW w:w="5190" w:type="dxa"/>
            <w:gridSpan w:val="2"/>
            <w:vAlign w:val="center"/>
          </w:tcPr>
          <w:p w:rsidR="006C0F3D" w:rsidRPr="001C213C" w:rsidRDefault="006C0F3D" w:rsidP="00E872C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629" w:type="dxa"/>
            <w:vAlign w:val="center"/>
          </w:tcPr>
          <w:p w:rsidR="006C0F3D" w:rsidRPr="00B932D2" w:rsidRDefault="006C0F3D" w:rsidP="006C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тис.грн</w:t>
            </w:r>
          </w:p>
        </w:tc>
        <w:tc>
          <w:tcPr>
            <w:tcW w:w="1600" w:type="dxa"/>
            <w:vAlign w:val="center"/>
          </w:tcPr>
          <w:p w:rsidR="006C0F3D" w:rsidRPr="00B932D2" w:rsidRDefault="006C0F3D" w:rsidP="006C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1Гкал</w:t>
            </w:r>
          </w:p>
        </w:tc>
        <w:tc>
          <w:tcPr>
            <w:tcW w:w="1668" w:type="dxa"/>
            <w:vAlign w:val="center"/>
          </w:tcPr>
          <w:p w:rsidR="006C0F3D" w:rsidRPr="00B932D2" w:rsidRDefault="006C0F3D" w:rsidP="006C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тис.грн</w:t>
            </w:r>
          </w:p>
        </w:tc>
        <w:tc>
          <w:tcPr>
            <w:tcW w:w="1645" w:type="dxa"/>
            <w:vAlign w:val="center"/>
          </w:tcPr>
          <w:p w:rsidR="006C0F3D" w:rsidRPr="00B932D2" w:rsidRDefault="006C0F3D" w:rsidP="006C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1Гкал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F3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1Гкал</w:t>
            </w:r>
          </w:p>
        </w:tc>
      </w:tr>
      <w:tr w:rsidR="006C0F3D" w:rsidRPr="001C213C" w:rsidTr="006C0F3D">
        <w:trPr>
          <w:trHeight w:val="208"/>
        </w:trPr>
        <w:tc>
          <w:tcPr>
            <w:tcW w:w="5190" w:type="dxa"/>
            <w:gridSpan w:val="2"/>
            <w:vAlign w:val="center"/>
          </w:tcPr>
          <w:p w:rsidR="006C0F3D" w:rsidRPr="002266AA" w:rsidRDefault="006C0F3D" w:rsidP="00BA12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2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матеріальні витрати:</w:t>
            </w:r>
          </w:p>
        </w:tc>
        <w:tc>
          <w:tcPr>
            <w:tcW w:w="1629" w:type="dxa"/>
            <w:vAlign w:val="center"/>
          </w:tcPr>
          <w:p w:rsidR="006C0F3D" w:rsidRPr="00396394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540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380</w:t>
            </w:r>
          </w:p>
        </w:tc>
        <w:tc>
          <w:tcPr>
            <w:tcW w:w="1600" w:type="dxa"/>
            <w:vAlign w:val="center"/>
          </w:tcPr>
          <w:p w:rsidR="006C0F3D" w:rsidRPr="00E7323C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5739,325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1088,23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26,45</w:t>
            </w:r>
          </w:p>
        </w:tc>
      </w:tr>
      <w:tr w:rsidR="006C0F3D" w:rsidRPr="001C213C" w:rsidTr="006C0F3D">
        <w:trPr>
          <w:trHeight w:val="181"/>
        </w:trPr>
        <w:tc>
          <w:tcPr>
            <w:tcW w:w="5190" w:type="dxa"/>
            <w:gridSpan w:val="2"/>
            <w:vAlign w:val="center"/>
          </w:tcPr>
          <w:p w:rsidR="006C0F3D" w:rsidRPr="002266AA" w:rsidRDefault="006C0F3D" w:rsidP="00BA1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</w:t>
            </w:r>
          </w:p>
        </w:tc>
        <w:tc>
          <w:tcPr>
            <w:tcW w:w="1629" w:type="dxa"/>
            <w:vAlign w:val="center"/>
          </w:tcPr>
          <w:p w:rsidR="006C0F3D" w:rsidRPr="00396394" w:rsidRDefault="006C0F3D" w:rsidP="006C0F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uk-UA"/>
              </w:rPr>
              <w:t>378</w:t>
            </w:r>
            <w:r w:rsidRPr="00F576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uk-UA"/>
              </w:rPr>
              <w:t>203</w:t>
            </w:r>
          </w:p>
        </w:tc>
        <w:tc>
          <w:tcPr>
            <w:tcW w:w="1600" w:type="dxa"/>
            <w:vAlign w:val="center"/>
          </w:tcPr>
          <w:p w:rsidR="006C0F3D" w:rsidRPr="00396394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06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4466,234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846,84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7,78</w:t>
            </w:r>
          </w:p>
        </w:tc>
      </w:tr>
      <w:tr w:rsidR="006C0F3D" w:rsidRPr="001C213C" w:rsidTr="006C0F3D">
        <w:trPr>
          <w:trHeight w:val="155"/>
        </w:trPr>
        <w:tc>
          <w:tcPr>
            <w:tcW w:w="5190" w:type="dxa"/>
            <w:gridSpan w:val="2"/>
            <w:vAlign w:val="center"/>
          </w:tcPr>
          <w:p w:rsidR="006C0F3D" w:rsidRPr="002266AA" w:rsidRDefault="006C0F3D" w:rsidP="00BA1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629" w:type="dxa"/>
            <w:vAlign w:val="center"/>
          </w:tcPr>
          <w:p w:rsidR="006C0F3D" w:rsidRPr="00396394" w:rsidRDefault="006C0F3D" w:rsidP="006C0F3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918</w:t>
            </w:r>
            <w:r w:rsidRPr="00F576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uk-UA"/>
              </w:rPr>
              <w:t>157</w:t>
            </w:r>
          </w:p>
        </w:tc>
        <w:tc>
          <w:tcPr>
            <w:tcW w:w="1600" w:type="dxa"/>
            <w:vAlign w:val="center"/>
          </w:tcPr>
          <w:p w:rsidR="006C0F3D" w:rsidRPr="00396394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96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964,745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182,92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</w:tr>
      <w:tr w:rsidR="006C0F3D" w:rsidRPr="001C213C" w:rsidTr="006C0F3D">
        <w:trPr>
          <w:trHeight w:val="525"/>
        </w:trPr>
        <w:tc>
          <w:tcPr>
            <w:tcW w:w="5190" w:type="dxa"/>
            <w:gridSpan w:val="2"/>
            <w:vAlign w:val="center"/>
          </w:tcPr>
          <w:p w:rsidR="006C0F3D" w:rsidRPr="002266AA" w:rsidRDefault="006C0F3D" w:rsidP="00BA1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629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238,513</w:t>
            </w:r>
          </w:p>
        </w:tc>
        <w:tc>
          <w:tcPr>
            <w:tcW w:w="1600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45,71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311,617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59,09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13,38</w:t>
            </w:r>
          </w:p>
        </w:tc>
      </w:tr>
      <w:tr w:rsidR="006C0F3D" w:rsidRPr="001C213C" w:rsidTr="006C0F3D">
        <w:trPr>
          <w:trHeight w:val="181"/>
        </w:trPr>
        <w:tc>
          <w:tcPr>
            <w:tcW w:w="5190" w:type="dxa"/>
            <w:gridSpan w:val="2"/>
            <w:vAlign w:val="center"/>
          </w:tcPr>
          <w:p w:rsidR="006C0F3D" w:rsidRPr="002266AA" w:rsidRDefault="006C0F3D" w:rsidP="00BA1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каналізація</w:t>
            </w:r>
          </w:p>
        </w:tc>
        <w:tc>
          <w:tcPr>
            <w:tcW w:w="1629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5,507</w:t>
            </w:r>
          </w:p>
        </w:tc>
        <w:tc>
          <w:tcPr>
            <w:tcW w:w="1600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296">
              <w:rPr>
                <w:rFonts w:ascii="Times New Roman" w:hAnsi="Times New Roman" w:cs="Times New Roman"/>
                <w:color w:val="000000"/>
              </w:rPr>
              <w:t>5,507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296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-0,02</w:t>
            </w:r>
          </w:p>
        </w:tc>
      </w:tr>
      <w:tr w:rsidR="006C0F3D" w:rsidRPr="001C213C" w:rsidTr="006C0F3D">
        <w:trPr>
          <w:trHeight w:val="181"/>
        </w:trPr>
        <w:tc>
          <w:tcPr>
            <w:tcW w:w="5190" w:type="dxa"/>
            <w:gridSpan w:val="2"/>
            <w:vAlign w:val="center"/>
          </w:tcPr>
          <w:p w:rsidR="006C0F3D" w:rsidRPr="001C213C" w:rsidRDefault="006C0F3D" w:rsidP="00BA1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оплату праці</w:t>
            </w:r>
          </w:p>
        </w:tc>
        <w:tc>
          <w:tcPr>
            <w:tcW w:w="1629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962,195</w:t>
            </w:r>
          </w:p>
        </w:tc>
        <w:tc>
          <w:tcPr>
            <w:tcW w:w="1600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184,40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924,079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175,21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-9,19</w:t>
            </w:r>
          </w:p>
        </w:tc>
      </w:tr>
      <w:tr w:rsidR="006C0F3D" w:rsidRPr="001C213C" w:rsidTr="006C0F3D">
        <w:trPr>
          <w:trHeight w:val="181"/>
        </w:trPr>
        <w:tc>
          <w:tcPr>
            <w:tcW w:w="5190" w:type="dxa"/>
            <w:gridSpan w:val="2"/>
            <w:vAlign w:val="center"/>
          </w:tcPr>
          <w:p w:rsidR="006C0F3D" w:rsidRPr="00B32747" w:rsidRDefault="006C0F3D" w:rsidP="00BA1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B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нші прямі витрати</w:t>
            </w:r>
          </w:p>
        </w:tc>
        <w:tc>
          <w:tcPr>
            <w:tcW w:w="1629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211,682</w:t>
            </w:r>
          </w:p>
        </w:tc>
        <w:tc>
          <w:tcPr>
            <w:tcW w:w="1600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203,297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-2,02</w:t>
            </w:r>
          </w:p>
        </w:tc>
      </w:tr>
      <w:tr w:rsidR="006C0F3D" w:rsidRPr="001C213C" w:rsidTr="006C0F3D">
        <w:trPr>
          <w:trHeight w:val="181"/>
        </w:trPr>
        <w:tc>
          <w:tcPr>
            <w:tcW w:w="5190" w:type="dxa"/>
            <w:gridSpan w:val="2"/>
            <w:vAlign w:val="center"/>
          </w:tcPr>
          <w:p w:rsidR="006C0F3D" w:rsidRPr="001C213C" w:rsidRDefault="006C0F3D" w:rsidP="00BA1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629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2391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600" w:type="dxa"/>
            <w:vAlign w:val="center"/>
          </w:tcPr>
          <w:p w:rsidR="006C0F3D" w:rsidRPr="00396394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458,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2375,664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450,45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-7,87</w:t>
            </w:r>
          </w:p>
        </w:tc>
      </w:tr>
      <w:tr w:rsidR="006C0F3D" w:rsidRPr="001C213C" w:rsidTr="006C0F3D">
        <w:trPr>
          <w:trHeight w:val="193"/>
        </w:trPr>
        <w:tc>
          <w:tcPr>
            <w:tcW w:w="5190" w:type="dxa"/>
            <w:gridSpan w:val="2"/>
            <w:vAlign w:val="center"/>
          </w:tcPr>
          <w:p w:rsidR="006C0F3D" w:rsidRPr="001C213C" w:rsidRDefault="006C0F3D" w:rsidP="00BA1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629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600" w:type="dxa"/>
            <w:vAlign w:val="center"/>
          </w:tcPr>
          <w:p w:rsidR="006C0F3D" w:rsidRPr="00396394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104,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69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581,352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111,41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6,72</w:t>
            </w:r>
          </w:p>
        </w:tc>
      </w:tr>
      <w:tr w:rsidR="006C0F3D" w:rsidRPr="001C213C" w:rsidTr="006C0F3D">
        <w:trPr>
          <w:trHeight w:val="181"/>
        </w:trPr>
        <w:tc>
          <w:tcPr>
            <w:tcW w:w="5190" w:type="dxa"/>
            <w:gridSpan w:val="2"/>
            <w:vAlign w:val="center"/>
          </w:tcPr>
          <w:p w:rsidR="006C0F3D" w:rsidRPr="001C213C" w:rsidRDefault="006C0F3D" w:rsidP="00BA1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629" w:type="dxa"/>
            <w:vAlign w:val="center"/>
          </w:tcPr>
          <w:p w:rsidR="006C0F3D" w:rsidRPr="00B932D2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450,</w:t>
            </w:r>
            <w:r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600" w:type="dxa"/>
            <w:vAlign w:val="center"/>
          </w:tcPr>
          <w:p w:rsidR="006C0F3D" w:rsidRPr="00396394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86,2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668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473,477</w:t>
            </w:r>
          </w:p>
        </w:tc>
        <w:tc>
          <w:tcPr>
            <w:tcW w:w="1645" w:type="dxa"/>
            <w:vAlign w:val="center"/>
          </w:tcPr>
          <w:p w:rsidR="006C0F3D" w:rsidRPr="00BA1296" w:rsidRDefault="006C0F3D" w:rsidP="006C0F3D">
            <w:pPr>
              <w:jc w:val="center"/>
              <w:rPr>
                <w:rFonts w:ascii="Times New Roman" w:hAnsi="Times New Roman" w:cs="Times New Roman"/>
              </w:rPr>
            </w:pPr>
            <w:r w:rsidRPr="00BA1296">
              <w:rPr>
                <w:rFonts w:ascii="Times New Roman" w:hAnsi="Times New Roman" w:cs="Times New Roman"/>
              </w:rPr>
              <w:t>89,78</w:t>
            </w:r>
          </w:p>
        </w:tc>
        <w:tc>
          <w:tcPr>
            <w:tcW w:w="2430" w:type="dxa"/>
            <w:vAlign w:val="center"/>
          </w:tcPr>
          <w:p w:rsidR="006C0F3D" w:rsidRPr="006C0F3D" w:rsidRDefault="006C0F3D" w:rsidP="006C0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F3D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</w:tr>
    </w:tbl>
    <w:p w:rsidR="000E1A59" w:rsidRPr="006345B1" w:rsidRDefault="000E1A59" w:rsidP="000E1A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4278" w:rsidRPr="006345B1" w:rsidRDefault="00954278" w:rsidP="009542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954278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79B0" w:rsidRPr="00D0770B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Із таблиці 3 видно, що в розрахунку планових вит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 на опалювальний період  2020-2021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загальний корисний відпуск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теплової енергії  складає 5,274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тис.Гкал. для бюджетних установ. </w:t>
      </w:r>
    </w:p>
    <w:p w:rsidR="00FD79B0" w:rsidRPr="00CE31DC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загальновиробничих норм питомих витрат палива, теплово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 електричної енергії на 2020</w:t>
      </w:r>
      <w:r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затверджених 12.06.2020</w:t>
      </w:r>
      <w:r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Луганською обласною державною адміністрацією норми корисного відпуску теплової енергії, палива та електроенергії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приведені до фактичних</w:t>
      </w:r>
      <w:r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D79B0" w:rsidRPr="006D7BB5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 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1</w:t>
      </w:r>
      <w:r w:rsidR="00DF1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0305,972 тис.грн., </w:t>
      </w:r>
      <w:r w:rsidR="00DF1100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 203,89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на </w:t>
      </w:r>
      <w:r w:rsidR="00304811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,0% більше у порівнянні з витратами, врахованими в діючих тарифах - 10102,083 тис. грн.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9B0" w:rsidRPr="006D7BB5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D7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Планова собівартість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послуг з постачання теплової енергії та поста</w:t>
      </w:r>
      <w:r w:rsidR="00DF1100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чання гарячої води складає 1954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F1100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грн/Гкал. При збільшенні загальних планових витрат відбулось збільшення планової собівартості на </w:t>
      </w:r>
      <w:r w:rsidR="00DF1100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18,10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грн/Гкал, проти собівартості в діючих тарифах –1936,01 грн/Гкал.</w:t>
      </w:r>
    </w:p>
    <w:p w:rsidR="00FD79B0" w:rsidRPr="006D7BB5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 w:rsidRPr="006D7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Pr="006D7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B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5739,325 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та збільшились  на  26,45 грн./Гкал </w:t>
      </w:r>
      <w:r w:rsidR="00304811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0,5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порівнянні з витратами, врахованими в діючих тарифах – 5540,380 тис. грн.</w:t>
      </w:r>
    </w:p>
    <w:p w:rsidR="00FD79B0" w:rsidRPr="006D7BB5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Планові витрати по статті </w:t>
      </w:r>
      <w:r w:rsidRPr="006D7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«паливо»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 4466,234 тис. грн. та збільшились на 7,78 грн./Гкал або на </w:t>
      </w:r>
      <w:r w:rsidR="00304811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,2% у порівняні з витратами, врахованими в діючих тарифах – 4378,203 тис. грн..</w:t>
      </w:r>
    </w:p>
    <w:p w:rsidR="00FD79B0" w:rsidRPr="006D7BB5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Планові витрати по статті </w:t>
      </w:r>
      <w:r w:rsidRPr="006D7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«електроенергія»</w:t>
      </w:r>
      <w:r w:rsidR="00DF1100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 964,745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та </w:t>
      </w:r>
      <w:r w:rsidR="00DF1100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збільшились на 6,96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грн./Гкал або на </w:t>
      </w:r>
      <w:r w:rsidR="00304811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0,8,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у порівняні з витратами, врахованими в діючих тарифах – 918,157 тис. грн..</w:t>
      </w:r>
    </w:p>
    <w:p w:rsidR="00FD79B0" w:rsidRPr="006D7BB5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Планові витрати по статті </w:t>
      </w:r>
      <w:r w:rsidRPr="006D7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«водопостачання»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 311,617 тис. грн. та збільшились на 13,38 грн./Гкал або на </w:t>
      </w:r>
      <w:r w:rsidR="00304811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5,6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у порівняні з витратами, врахованими в діючих тарифах – 238,513 тис. грн..</w:t>
      </w:r>
    </w:p>
    <w:p w:rsidR="00FD79B0" w:rsidRPr="006D7BB5" w:rsidRDefault="00DF110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Планові </w:t>
      </w:r>
      <w:r w:rsidR="000A0E54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по статті </w:t>
      </w:r>
      <w:r w:rsidR="000A0E54" w:rsidRPr="006D7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«каналізація», «Прямі витрати на оплату праці», «Інші прямі витрати», «Загальновиробничі витрати»</w:t>
      </w:r>
      <w:r w:rsidR="000A0E54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зменшились, за рахунок 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A0E54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меншення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E54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них.</w:t>
      </w:r>
    </w:p>
    <w:p w:rsidR="00FD79B0" w:rsidRPr="006D7BB5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0A0E54" w:rsidRPr="006D7BB5">
        <w:rPr>
          <w:rFonts w:ascii="Times New Roman" w:hAnsi="Times New Roman" w:cs="Times New Roman"/>
          <w:bCs/>
          <w:sz w:val="28"/>
          <w:szCs w:val="28"/>
        </w:rPr>
        <w:t>5</w:t>
      </w:r>
      <w:r w:rsidR="000A0E54" w:rsidRPr="006D7BB5">
        <w:rPr>
          <w:rFonts w:ascii="Times New Roman" w:hAnsi="Times New Roman" w:cs="Times New Roman"/>
          <w:bCs/>
          <w:sz w:val="28"/>
          <w:szCs w:val="28"/>
          <w:lang w:val="uk-UA"/>
        </w:rPr>
        <w:t>81</w:t>
      </w:r>
      <w:r w:rsidR="000A0E54" w:rsidRPr="006D7BB5">
        <w:rPr>
          <w:rFonts w:ascii="Times New Roman" w:hAnsi="Times New Roman" w:cs="Times New Roman"/>
          <w:bCs/>
          <w:sz w:val="28"/>
          <w:szCs w:val="28"/>
        </w:rPr>
        <w:t>,</w:t>
      </w:r>
      <w:r w:rsidR="000A0E54" w:rsidRPr="006D7BB5">
        <w:rPr>
          <w:rFonts w:ascii="Times New Roman" w:hAnsi="Times New Roman" w:cs="Times New Roman"/>
          <w:bCs/>
          <w:sz w:val="28"/>
          <w:szCs w:val="28"/>
          <w:lang w:val="uk-UA"/>
        </w:rPr>
        <w:t>352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</w:t>
      </w:r>
      <w:r w:rsidR="006D7BB5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304811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1,2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 </w:t>
      </w:r>
      <w:r w:rsidR="00AD0226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 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 –</w:t>
      </w:r>
      <w:r w:rsidR="000A0E54" w:rsidRPr="006D7BB5">
        <w:rPr>
          <w:rFonts w:ascii="Times New Roman" w:hAnsi="Times New Roman" w:cs="Times New Roman"/>
          <w:bCs/>
          <w:sz w:val="28"/>
          <w:szCs w:val="28"/>
        </w:rPr>
        <w:t>5</w:t>
      </w:r>
      <w:r w:rsidR="000A0E54" w:rsidRPr="006D7BB5">
        <w:rPr>
          <w:rFonts w:ascii="Times New Roman" w:hAnsi="Times New Roman" w:cs="Times New Roman"/>
          <w:bCs/>
          <w:sz w:val="28"/>
          <w:szCs w:val="28"/>
          <w:lang w:val="uk-UA"/>
        </w:rPr>
        <w:t>46</w:t>
      </w:r>
      <w:r w:rsidR="000A0E54" w:rsidRPr="006D7BB5">
        <w:rPr>
          <w:rFonts w:ascii="Times New Roman" w:hAnsi="Times New Roman" w:cs="Times New Roman"/>
          <w:bCs/>
          <w:sz w:val="28"/>
          <w:szCs w:val="28"/>
        </w:rPr>
        <w:t>,</w:t>
      </w:r>
      <w:r w:rsidR="000A0E54" w:rsidRPr="006D7BB5">
        <w:rPr>
          <w:rFonts w:ascii="Times New Roman" w:hAnsi="Times New Roman" w:cs="Times New Roman"/>
          <w:bCs/>
          <w:sz w:val="28"/>
          <w:szCs w:val="28"/>
          <w:lang w:val="uk-UA"/>
        </w:rPr>
        <w:t>297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FD79B0" w:rsidRPr="006D7BB5" w:rsidRDefault="00FD79B0" w:rsidP="00FD7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зі  збуту послуг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AD0226" w:rsidRPr="006D7BB5">
        <w:rPr>
          <w:rFonts w:ascii="Times New Roman" w:hAnsi="Times New Roman" w:cs="Times New Roman"/>
          <w:bCs/>
          <w:sz w:val="28"/>
          <w:szCs w:val="28"/>
        </w:rPr>
        <w:t>4</w:t>
      </w:r>
      <w:r w:rsidR="00AD0226" w:rsidRPr="006D7BB5">
        <w:rPr>
          <w:rFonts w:ascii="Times New Roman" w:hAnsi="Times New Roman" w:cs="Times New Roman"/>
          <w:bCs/>
          <w:sz w:val="28"/>
          <w:szCs w:val="28"/>
          <w:lang w:val="uk-UA"/>
        </w:rPr>
        <w:t>73</w:t>
      </w:r>
      <w:r w:rsidR="00AD0226" w:rsidRPr="006D7BB5">
        <w:rPr>
          <w:rFonts w:ascii="Times New Roman" w:hAnsi="Times New Roman" w:cs="Times New Roman"/>
          <w:bCs/>
          <w:sz w:val="28"/>
          <w:szCs w:val="28"/>
        </w:rPr>
        <w:t>,4</w:t>
      </w:r>
      <w:r w:rsidR="00AD0226" w:rsidRPr="006D7BB5">
        <w:rPr>
          <w:rFonts w:ascii="Times New Roman" w:hAnsi="Times New Roman" w:cs="Times New Roman"/>
          <w:bCs/>
          <w:sz w:val="28"/>
          <w:szCs w:val="28"/>
          <w:lang w:val="uk-UA"/>
        </w:rPr>
        <w:t>77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</w:t>
      </w:r>
      <w:r w:rsidR="006D7BB5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304811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0,8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</w:t>
      </w:r>
      <w:r w:rsidR="00AD0226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з витратами, в</w:t>
      </w:r>
      <w:r w:rsidR="00AD0226"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рахованими в діючих тарифах –450,012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AD0226" w:rsidRPr="00AD0226" w:rsidRDefault="00457E38" w:rsidP="00AD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аналізу </w:t>
      </w:r>
      <w:r w:rsidRPr="006D7BB5">
        <w:rPr>
          <w:rFonts w:ascii="Times New Roman" w:hAnsi="Times New Roman" w:cs="Times New Roman"/>
          <w:sz w:val="28"/>
          <w:szCs w:val="28"/>
          <w:lang w:val="uk-UA"/>
        </w:rPr>
        <w:t>планових витрат</w:t>
      </w:r>
      <w:r w:rsidR="00AD0226" w:rsidRPr="006D7BB5">
        <w:rPr>
          <w:rFonts w:ascii="Times New Roman" w:hAnsi="Times New Roman" w:cs="Times New Roman"/>
          <w:sz w:val="28"/>
          <w:szCs w:val="28"/>
          <w:lang w:val="uk-UA"/>
        </w:rPr>
        <w:t xml:space="preserve"> на опалювальний період 2020-2021</w:t>
      </w:r>
      <w:r w:rsidRPr="006D7BB5">
        <w:rPr>
          <w:rFonts w:ascii="Times New Roman" w:hAnsi="Times New Roman" w:cs="Times New Roman"/>
          <w:sz w:val="28"/>
          <w:szCs w:val="28"/>
          <w:lang w:val="uk-UA"/>
        </w:rPr>
        <w:t xml:space="preserve"> рр., у порівнянні з витратами врахованими в діючих тарифах всі </w:t>
      </w:r>
      <w:r w:rsidR="00AD0226" w:rsidRPr="006D7BB5">
        <w:rPr>
          <w:rFonts w:ascii="Times New Roman" w:hAnsi="Times New Roman" w:cs="Times New Roman"/>
          <w:sz w:val="28"/>
          <w:szCs w:val="28"/>
          <w:lang w:val="uk-UA"/>
        </w:rPr>
        <w:t xml:space="preserve">прямі матеріальні </w:t>
      </w:r>
      <w:r w:rsidRPr="006D7BB5">
        <w:rPr>
          <w:rFonts w:ascii="Times New Roman" w:hAnsi="Times New Roman" w:cs="Times New Roman"/>
          <w:sz w:val="28"/>
          <w:szCs w:val="28"/>
          <w:lang w:val="uk-UA"/>
        </w:rPr>
        <w:t>витрати,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адміністративні</w:t>
      </w:r>
      <w:r w:rsidRPr="006D7BB5">
        <w:rPr>
          <w:rFonts w:ascii="Times New Roman" w:hAnsi="Times New Roman" w:cs="Times New Roman"/>
          <w:sz w:val="28"/>
          <w:szCs w:val="28"/>
          <w:lang w:val="uk-UA"/>
        </w:rPr>
        <w:t xml:space="preserve"> витрати</w:t>
      </w:r>
      <w:r w:rsidRPr="006D7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витрати із збуту теплової енергії</w:t>
      </w:r>
      <w:r w:rsidRPr="006D7BB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збільшилися. </w:t>
      </w:r>
      <w:r w:rsidR="00AD0226" w:rsidRPr="006D7BB5">
        <w:rPr>
          <w:rFonts w:ascii="Times New Roman" w:hAnsi="Times New Roman" w:cs="Times New Roman"/>
          <w:sz w:val="28"/>
          <w:szCs w:val="28"/>
          <w:lang w:val="uk-UA"/>
        </w:rPr>
        <w:t>Збільшення прямих матеріальних витрат відбулося за рахунок збільшення ціни н</w:t>
      </w:r>
      <w:r w:rsidR="006D7BB5" w:rsidRPr="006D7BB5">
        <w:rPr>
          <w:rFonts w:ascii="Times New Roman" w:hAnsi="Times New Roman" w:cs="Times New Roman"/>
          <w:sz w:val="28"/>
          <w:szCs w:val="28"/>
          <w:lang w:val="uk-UA"/>
        </w:rPr>
        <w:t>а природний газ,  електроенергію та воду</w:t>
      </w:r>
      <w:r w:rsidR="00AD0226" w:rsidRPr="006D7BB5">
        <w:rPr>
          <w:rFonts w:ascii="Times New Roman" w:hAnsi="Times New Roman" w:cs="Times New Roman"/>
          <w:sz w:val="28"/>
          <w:szCs w:val="28"/>
          <w:lang w:val="uk-UA"/>
        </w:rPr>
        <w:t>, виходячи із розрахунку середньої ціни на ці складові витрат.</w:t>
      </w:r>
      <w:r w:rsidR="00AD0226" w:rsidRPr="006D7BB5">
        <w:rPr>
          <w:lang w:val="uk-UA"/>
        </w:rPr>
        <w:t xml:space="preserve"> </w:t>
      </w:r>
      <w:r w:rsidR="00AD0226" w:rsidRPr="006D7BB5">
        <w:rPr>
          <w:rFonts w:ascii="Times New Roman" w:hAnsi="Times New Roman" w:cs="Times New Roman"/>
          <w:sz w:val="28"/>
          <w:szCs w:val="28"/>
          <w:lang w:val="uk-UA"/>
        </w:rPr>
        <w:t xml:space="preserve">(Згідно з змінами </w:t>
      </w:r>
      <w:r w:rsidR="00AD0226" w:rsidRPr="00AD0226">
        <w:rPr>
          <w:rFonts w:ascii="Times New Roman" w:hAnsi="Times New Roman" w:cs="Times New Roman"/>
          <w:sz w:val="28"/>
          <w:szCs w:val="28"/>
          <w:lang w:val="uk-UA"/>
        </w:rPr>
        <w:t>від 10.06.2020р. № 467 до Постанови КМУ № 869 від 01.06.2011 р. «Про забезпечення єдиного підходу до формування тарифів на житлово-комунальні послуги».</w:t>
      </w:r>
    </w:p>
    <w:p w:rsidR="00AD0226" w:rsidRPr="00AD0226" w:rsidRDefault="00AD0226" w:rsidP="00AD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226">
        <w:rPr>
          <w:rFonts w:ascii="Times New Roman" w:hAnsi="Times New Roman" w:cs="Times New Roman"/>
          <w:sz w:val="28"/>
          <w:szCs w:val="28"/>
          <w:lang w:val="uk-UA"/>
        </w:rPr>
        <w:t>Тариф на послуги з постачання теплової енергії та постачання гарячої води КП «Сватове-тепло» в останнє переглядався та був затверджений рішенням Виконавчого комітету Сватівської міської ради № 51 від 09 червня 2020 року.</w:t>
      </w:r>
    </w:p>
    <w:p w:rsidR="00457E38" w:rsidRDefault="00AD0226" w:rsidP="00AD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22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Розрахунок тарифів проводився на підставі Закону України «Про житлово-комунальні послуги», Закону України «Про теплопостачання», Постанови КМУ № 869 від 01.06.2011 р. «Про забезпечення єдиного підходу до формування тарифів на житлово-комунальні послуги» (зі змінами від 10.06.2020р. № 467).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КП «Сватове-тепло»                                                                          В.І. Данильченко 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                                                     О.Л. Яковенко</w:t>
      </w:r>
    </w:p>
    <w:p w:rsidR="00F57600" w:rsidRDefault="00F57600" w:rsidP="00F5760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                                                                                    </w:t>
      </w:r>
      <w:r w:rsidR="00731A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979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60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Н.В. Савченко</w:t>
      </w:r>
    </w:p>
    <w:p w:rsidR="009F5E3F" w:rsidRDefault="009F5E3F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5E3F" w:rsidSect="00A02E61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86" w:rsidRDefault="00EF1B86" w:rsidP="00CD6819">
      <w:pPr>
        <w:spacing w:after="0" w:line="240" w:lineRule="auto"/>
      </w:pPr>
      <w:r>
        <w:separator/>
      </w:r>
    </w:p>
  </w:endnote>
  <w:endnote w:type="continuationSeparator" w:id="0">
    <w:p w:rsidR="00EF1B86" w:rsidRDefault="00EF1B86" w:rsidP="00C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86" w:rsidRDefault="00EF1B86" w:rsidP="00CD6819">
      <w:pPr>
        <w:spacing w:after="0" w:line="240" w:lineRule="auto"/>
      </w:pPr>
      <w:r>
        <w:separator/>
      </w:r>
    </w:p>
  </w:footnote>
  <w:footnote w:type="continuationSeparator" w:id="0">
    <w:p w:rsidR="00EF1B86" w:rsidRDefault="00EF1B86" w:rsidP="00CD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3"/>
    <w:rsid w:val="0000246C"/>
    <w:rsid w:val="00004520"/>
    <w:rsid w:val="0002321D"/>
    <w:rsid w:val="00032BF7"/>
    <w:rsid w:val="0003564F"/>
    <w:rsid w:val="00054750"/>
    <w:rsid w:val="00060C9C"/>
    <w:rsid w:val="00071BFB"/>
    <w:rsid w:val="00081CB7"/>
    <w:rsid w:val="00093A75"/>
    <w:rsid w:val="0009647C"/>
    <w:rsid w:val="00097DC3"/>
    <w:rsid w:val="000A0E54"/>
    <w:rsid w:val="000A3776"/>
    <w:rsid w:val="000B1E8F"/>
    <w:rsid w:val="000B3009"/>
    <w:rsid w:val="000D27B9"/>
    <w:rsid w:val="000D74B7"/>
    <w:rsid w:val="000E1449"/>
    <w:rsid w:val="000E1A59"/>
    <w:rsid w:val="000E2A5B"/>
    <w:rsid w:val="000E4E9A"/>
    <w:rsid w:val="000F7590"/>
    <w:rsid w:val="00112658"/>
    <w:rsid w:val="00121635"/>
    <w:rsid w:val="00122E82"/>
    <w:rsid w:val="00123961"/>
    <w:rsid w:val="001267B3"/>
    <w:rsid w:val="001314EA"/>
    <w:rsid w:val="0013426C"/>
    <w:rsid w:val="00135439"/>
    <w:rsid w:val="0015706E"/>
    <w:rsid w:val="00166D45"/>
    <w:rsid w:val="00174732"/>
    <w:rsid w:val="00174F08"/>
    <w:rsid w:val="00185C8C"/>
    <w:rsid w:val="00187797"/>
    <w:rsid w:val="00193330"/>
    <w:rsid w:val="001A126C"/>
    <w:rsid w:val="001B0AA8"/>
    <w:rsid w:val="001B6A03"/>
    <w:rsid w:val="001D3F50"/>
    <w:rsid w:val="001E6009"/>
    <w:rsid w:val="001E7B3B"/>
    <w:rsid w:val="001F4409"/>
    <w:rsid w:val="002032B7"/>
    <w:rsid w:val="002048A2"/>
    <w:rsid w:val="00204B04"/>
    <w:rsid w:val="002135E2"/>
    <w:rsid w:val="0021498C"/>
    <w:rsid w:val="0021536E"/>
    <w:rsid w:val="00216064"/>
    <w:rsid w:val="00224BE8"/>
    <w:rsid w:val="002266AA"/>
    <w:rsid w:val="00236F65"/>
    <w:rsid w:val="00243A71"/>
    <w:rsid w:val="00243FEE"/>
    <w:rsid w:val="002506CE"/>
    <w:rsid w:val="00251197"/>
    <w:rsid w:val="00266D51"/>
    <w:rsid w:val="00270305"/>
    <w:rsid w:val="00283197"/>
    <w:rsid w:val="00285C42"/>
    <w:rsid w:val="00291C1E"/>
    <w:rsid w:val="002924E5"/>
    <w:rsid w:val="002955F6"/>
    <w:rsid w:val="0029725A"/>
    <w:rsid w:val="002A216E"/>
    <w:rsid w:val="002B4DDB"/>
    <w:rsid w:val="002B58AF"/>
    <w:rsid w:val="002C0E40"/>
    <w:rsid w:val="002C4242"/>
    <w:rsid w:val="002C5421"/>
    <w:rsid w:val="002D7A07"/>
    <w:rsid w:val="002E768B"/>
    <w:rsid w:val="002F33BD"/>
    <w:rsid w:val="00304811"/>
    <w:rsid w:val="00304C3B"/>
    <w:rsid w:val="00305951"/>
    <w:rsid w:val="00307C2C"/>
    <w:rsid w:val="00312B61"/>
    <w:rsid w:val="003230AE"/>
    <w:rsid w:val="00324C0D"/>
    <w:rsid w:val="0034382F"/>
    <w:rsid w:val="00344B93"/>
    <w:rsid w:val="00344CAE"/>
    <w:rsid w:val="00354907"/>
    <w:rsid w:val="0036337C"/>
    <w:rsid w:val="00374C07"/>
    <w:rsid w:val="00381F98"/>
    <w:rsid w:val="003827AF"/>
    <w:rsid w:val="00387D63"/>
    <w:rsid w:val="0039498D"/>
    <w:rsid w:val="0039555B"/>
    <w:rsid w:val="00396394"/>
    <w:rsid w:val="00397D06"/>
    <w:rsid w:val="003A1069"/>
    <w:rsid w:val="003A63FD"/>
    <w:rsid w:val="003B2B5B"/>
    <w:rsid w:val="003B3EE5"/>
    <w:rsid w:val="003B71A7"/>
    <w:rsid w:val="003C6B99"/>
    <w:rsid w:val="003C7699"/>
    <w:rsid w:val="003D0D18"/>
    <w:rsid w:val="003D1086"/>
    <w:rsid w:val="003D792A"/>
    <w:rsid w:val="003E140E"/>
    <w:rsid w:val="003E2A4E"/>
    <w:rsid w:val="003E39E8"/>
    <w:rsid w:val="003F0B5F"/>
    <w:rsid w:val="003F22F2"/>
    <w:rsid w:val="003F4957"/>
    <w:rsid w:val="00402684"/>
    <w:rsid w:val="004033C0"/>
    <w:rsid w:val="00407BAC"/>
    <w:rsid w:val="0041151A"/>
    <w:rsid w:val="00420C58"/>
    <w:rsid w:val="00425489"/>
    <w:rsid w:val="00425ECA"/>
    <w:rsid w:val="0044630E"/>
    <w:rsid w:val="004463D6"/>
    <w:rsid w:val="00450868"/>
    <w:rsid w:val="004549E3"/>
    <w:rsid w:val="00455095"/>
    <w:rsid w:val="00457E38"/>
    <w:rsid w:val="00460FAB"/>
    <w:rsid w:val="0046111F"/>
    <w:rsid w:val="00466FB6"/>
    <w:rsid w:val="00476BBD"/>
    <w:rsid w:val="00477C09"/>
    <w:rsid w:val="00491B23"/>
    <w:rsid w:val="004979D3"/>
    <w:rsid w:val="00497DF3"/>
    <w:rsid w:val="004B2ED3"/>
    <w:rsid w:val="004C290A"/>
    <w:rsid w:val="004C66BB"/>
    <w:rsid w:val="004E1617"/>
    <w:rsid w:val="004E60E6"/>
    <w:rsid w:val="004E68BF"/>
    <w:rsid w:val="004F4EFD"/>
    <w:rsid w:val="005017ED"/>
    <w:rsid w:val="00503EB8"/>
    <w:rsid w:val="0051478E"/>
    <w:rsid w:val="00524149"/>
    <w:rsid w:val="00534338"/>
    <w:rsid w:val="00535BC8"/>
    <w:rsid w:val="00537822"/>
    <w:rsid w:val="00540ED0"/>
    <w:rsid w:val="00543455"/>
    <w:rsid w:val="005446C3"/>
    <w:rsid w:val="00544D7B"/>
    <w:rsid w:val="005452DB"/>
    <w:rsid w:val="00546198"/>
    <w:rsid w:val="005559ED"/>
    <w:rsid w:val="005603D6"/>
    <w:rsid w:val="005604ED"/>
    <w:rsid w:val="00582091"/>
    <w:rsid w:val="00595584"/>
    <w:rsid w:val="005A791B"/>
    <w:rsid w:val="005B185D"/>
    <w:rsid w:val="005B723D"/>
    <w:rsid w:val="005C22D9"/>
    <w:rsid w:val="005C5E04"/>
    <w:rsid w:val="005D3A3F"/>
    <w:rsid w:val="005D3F10"/>
    <w:rsid w:val="005D47B6"/>
    <w:rsid w:val="005D5A5E"/>
    <w:rsid w:val="005E15BE"/>
    <w:rsid w:val="005E1F85"/>
    <w:rsid w:val="005F39CD"/>
    <w:rsid w:val="005F6CE0"/>
    <w:rsid w:val="006061B9"/>
    <w:rsid w:val="006067F3"/>
    <w:rsid w:val="00616D2C"/>
    <w:rsid w:val="00625761"/>
    <w:rsid w:val="00625BE1"/>
    <w:rsid w:val="006278B8"/>
    <w:rsid w:val="006316BB"/>
    <w:rsid w:val="00641B11"/>
    <w:rsid w:val="0065157A"/>
    <w:rsid w:val="006578A8"/>
    <w:rsid w:val="00660FF3"/>
    <w:rsid w:val="00663DA4"/>
    <w:rsid w:val="006721FD"/>
    <w:rsid w:val="00672C0A"/>
    <w:rsid w:val="00673B43"/>
    <w:rsid w:val="006764B7"/>
    <w:rsid w:val="006768A0"/>
    <w:rsid w:val="006802F3"/>
    <w:rsid w:val="00680ABD"/>
    <w:rsid w:val="00683F24"/>
    <w:rsid w:val="00686B6B"/>
    <w:rsid w:val="00690FF4"/>
    <w:rsid w:val="0069433B"/>
    <w:rsid w:val="00696526"/>
    <w:rsid w:val="006A05C6"/>
    <w:rsid w:val="006A6642"/>
    <w:rsid w:val="006B0366"/>
    <w:rsid w:val="006B0A3F"/>
    <w:rsid w:val="006B1DB2"/>
    <w:rsid w:val="006B2998"/>
    <w:rsid w:val="006C0F3D"/>
    <w:rsid w:val="006C140D"/>
    <w:rsid w:val="006C456C"/>
    <w:rsid w:val="006C4B5A"/>
    <w:rsid w:val="006C76B1"/>
    <w:rsid w:val="006D20C8"/>
    <w:rsid w:val="006D445C"/>
    <w:rsid w:val="006D456B"/>
    <w:rsid w:val="006D7BB5"/>
    <w:rsid w:val="006E1C74"/>
    <w:rsid w:val="006F007A"/>
    <w:rsid w:val="006F6A1D"/>
    <w:rsid w:val="006F7499"/>
    <w:rsid w:val="007035E0"/>
    <w:rsid w:val="00711139"/>
    <w:rsid w:val="0071477E"/>
    <w:rsid w:val="0072632E"/>
    <w:rsid w:val="00731A98"/>
    <w:rsid w:val="00732802"/>
    <w:rsid w:val="007329D2"/>
    <w:rsid w:val="00733DF3"/>
    <w:rsid w:val="0073766E"/>
    <w:rsid w:val="00741F86"/>
    <w:rsid w:val="00743A63"/>
    <w:rsid w:val="00750741"/>
    <w:rsid w:val="00754F09"/>
    <w:rsid w:val="007579B0"/>
    <w:rsid w:val="007657F0"/>
    <w:rsid w:val="00765E54"/>
    <w:rsid w:val="00772107"/>
    <w:rsid w:val="00780BEE"/>
    <w:rsid w:val="00786115"/>
    <w:rsid w:val="007915CC"/>
    <w:rsid w:val="0079504F"/>
    <w:rsid w:val="007A205B"/>
    <w:rsid w:val="007A4F55"/>
    <w:rsid w:val="007A6E98"/>
    <w:rsid w:val="007A76EE"/>
    <w:rsid w:val="007B6BE5"/>
    <w:rsid w:val="007C09A2"/>
    <w:rsid w:val="007C4726"/>
    <w:rsid w:val="007C475A"/>
    <w:rsid w:val="007C6447"/>
    <w:rsid w:val="007D51DB"/>
    <w:rsid w:val="007D5764"/>
    <w:rsid w:val="007F0E2F"/>
    <w:rsid w:val="008000B1"/>
    <w:rsid w:val="00802641"/>
    <w:rsid w:val="008204AB"/>
    <w:rsid w:val="00824E84"/>
    <w:rsid w:val="00825570"/>
    <w:rsid w:val="00833529"/>
    <w:rsid w:val="00851938"/>
    <w:rsid w:val="0087414C"/>
    <w:rsid w:val="008775DF"/>
    <w:rsid w:val="00883630"/>
    <w:rsid w:val="00884F86"/>
    <w:rsid w:val="0088770A"/>
    <w:rsid w:val="008973E1"/>
    <w:rsid w:val="008A1E34"/>
    <w:rsid w:val="008A7724"/>
    <w:rsid w:val="008B1AE7"/>
    <w:rsid w:val="008B361A"/>
    <w:rsid w:val="008B4884"/>
    <w:rsid w:val="008C5975"/>
    <w:rsid w:val="008F191A"/>
    <w:rsid w:val="008F1A38"/>
    <w:rsid w:val="008F2AAA"/>
    <w:rsid w:val="008F5CD6"/>
    <w:rsid w:val="008F7EC2"/>
    <w:rsid w:val="00901061"/>
    <w:rsid w:val="00902CCB"/>
    <w:rsid w:val="009110C4"/>
    <w:rsid w:val="00916243"/>
    <w:rsid w:val="00920EC7"/>
    <w:rsid w:val="00921F75"/>
    <w:rsid w:val="00925189"/>
    <w:rsid w:val="00926D47"/>
    <w:rsid w:val="00944A68"/>
    <w:rsid w:val="009505FB"/>
    <w:rsid w:val="00954278"/>
    <w:rsid w:val="0096350C"/>
    <w:rsid w:val="00965041"/>
    <w:rsid w:val="00972261"/>
    <w:rsid w:val="00972A10"/>
    <w:rsid w:val="00972CA6"/>
    <w:rsid w:val="00986ED7"/>
    <w:rsid w:val="009A012D"/>
    <w:rsid w:val="009A156D"/>
    <w:rsid w:val="009C18B5"/>
    <w:rsid w:val="009C61E7"/>
    <w:rsid w:val="009C7D6E"/>
    <w:rsid w:val="009D3380"/>
    <w:rsid w:val="009D6030"/>
    <w:rsid w:val="009E4118"/>
    <w:rsid w:val="009E48AA"/>
    <w:rsid w:val="009E7F4F"/>
    <w:rsid w:val="009F5E3F"/>
    <w:rsid w:val="00A02E61"/>
    <w:rsid w:val="00A05123"/>
    <w:rsid w:val="00A13A6C"/>
    <w:rsid w:val="00A30D31"/>
    <w:rsid w:val="00A372A3"/>
    <w:rsid w:val="00A51FAB"/>
    <w:rsid w:val="00A5225A"/>
    <w:rsid w:val="00A54170"/>
    <w:rsid w:val="00A571C7"/>
    <w:rsid w:val="00A62081"/>
    <w:rsid w:val="00A64D61"/>
    <w:rsid w:val="00A675FF"/>
    <w:rsid w:val="00A70759"/>
    <w:rsid w:val="00A9213D"/>
    <w:rsid w:val="00A923DA"/>
    <w:rsid w:val="00A950A8"/>
    <w:rsid w:val="00AB5730"/>
    <w:rsid w:val="00AB67CF"/>
    <w:rsid w:val="00AC5213"/>
    <w:rsid w:val="00AC578E"/>
    <w:rsid w:val="00AD0226"/>
    <w:rsid w:val="00AD1B3B"/>
    <w:rsid w:val="00AD2CDF"/>
    <w:rsid w:val="00AF0CF1"/>
    <w:rsid w:val="00AF4E07"/>
    <w:rsid w:val="00B02B5E"/>
    <w:rsid w:val="00B1079D"/>
    <w:rsid w:val="00B11999"/>
    <w:rsid w:val="00B12429"/>
    <w:rsid w:val="00B21005"/>
    <w:rsid w:val="00B23FCA"/>
    <w:rsid w:val="00B2595C"/>
    <w:rsid w:val="00B32747"/>
    <w:rsid w:val="00B40DB1"/>
    <w:rsid w:val="00B46514"/>
    <w:rsid w:val="00B51873"/>
    <w:rsid w:val="00B5286A"/>
    <w:rsid w:val="00B56E54"/>
    <w:rsid w:val="00B83A3F"/>
    <w:rsid w:val="00B8488A"/>
    <w:rsid w:val="00B8661A"/>
    <w:rsid w:val="00B8703F"/>
    <w:rsid w:val="00B87AA6"/>
    <w:rsid w:val="00B9087B"/>
    <w:rsid w:val="00B92EC7"/>
    <w:rsid w:val="00B932D2"/>
    <w:rsid w:val="00B95C97"/>
    <w:rsid w:val="00BA1296"/>
    <w:rsid w:val="00BA2813"/>
    <w:rsid w:val="00BA4AE9"/>
    <w:rsid w:val="00BA4F6F"/>
    <w:rsid w:val="00BB3E1E"/>
    <w:rsid w:val="00BB5778"/>
    <w:rsid w:val="00BB64F9"/>
    <w:rsid w:val="00BC29C0"/>
    <w:rsid w:val="00BD7B78"/>
    <w:rsid w:val="00BE31BC"/>
    <w:rsid w:val="00BE3C34"/>
    <w:rsid w:val="00BF030E"/>
    <w:rsid w:val="00C07497"/>
    <w:rsid w:val="00C100B9"/>
    <w:rsid w:val="00C1728A"/>
    <w:rsid w:val="00C22B4E"/>
    <w:rsid w:val="00C31439"/>
    <w:rsid w:val="00C31D00"/>
    <w:rsid w:val="00C33307"/>
    <w:rsid w:val="00C343C9"/>
    <w:rsid w:val="00C41107"/>
    <w:rsid w:val="00C42371"/>
    <w:rsid w:val="00C4367F"/>
    <w:rsid w:val="00C44A33"/>
    <w:rsid w:val="00C45220"/>
    <w:rsid w:val="00C5154F"/>
    <w:rsid w:val="00C54F64"/>
    <w:rsid w:val="00C62B04"/>
    <w:rsid w:val="00C866EB"/>
    <w:rsid w:val="00C86E73"/>
    <w:rsid w:val="00C97EE5"/>
    <w:rsid w:val="00CA1523"/>
    <w:rsid w:val="00CA5435"/>
    <w:rsid w:val="00CB0E61"/>
    <w:rsid w:val="00CB2F44"/>
    <w:rsid w:val="00CC0457"/>
    <w:rsid w:val="00CC637F"/>
    <w:rsid w:val="00CD3E9D"/>
    <w:rsid w:val="00CD6819"/>
    <w:rsid w:val="00CE01EB"/>
    <w:rsid w:val="00CE108C"/>
    <w:rsid w:val="00CE31DC"/>
    <w:rsid w:val="00CF2DCD"/>
    <w:rsid w:val="00CF3717"/>
    <w:rsid w:val="00CF455D"/>
    <w:rsid w:val="00D01693"/>
    <w:rsid w:val="00D03873"/>
    <w:rsid w:val="00D03A95"/>
    <w:rsid w:val="00D0517A"/>
    <w:rsid w:val="00D073D6"/>
    <w:rsid w:val="00D0770B"/>
    <w:rsid w:val="00D208CD"/>
    <w:rsid w:val="00D20ED9"/>
    <w:rsid w:val="00D30169"/>
    <w:rsid w:val="00D30358"/>
    <w:rsid w:val="00D30566"/>
    <w:rsid w:val="00D61E06"/>
    <w:rsid w:val="00D77C04"/>
    <w:rsid w:val="00D817EC"/>
    <w:rsid w:val="00D83B49"/>
    <w:rsid w:val="00D84135"/>
    <w:rsid w:val="00D91BFF"/>
    <w:rsid w:val="00D9424A"/>
    <w:rsid w:val="00D952BE"/>
    <w:rsid w:val="00DB4C18"/>
    <w:rsid w:val="00DB6FA0"/>
    <w:rsid w:val="00DC39E8"/>
    <w:rsid w:val="00DC4093"/>
    <w:rsid w:val="00DD36E6"/>
    <w:rsid w:val="00DD5B7A"/>
    <w:rsid w:val="00DE03D9"/>
    <w:rsid w:val="00DE3A43"/>
    <w:rsid w:val="00DE444D"/>
    <w:rsid w:val="00DF1100"/>
    <w:rsid w:val="00DF4B71"/>
    <w:rsid w:val="00DF5904"/>
    <w:rsid w:val="00DF7081"/>
    <w:rsid w:val="00E02CA4"/>
    <w:rsid w:val="00E0312C"/>
    <w:rsid w:val="00E15B84"/>
    <w:rsid w:val="00E204B0"/>
    <w:rsid w:val="00E20C45"/>
    <w:rsid w:val="00E219FC"/>
    <w:rsid w:val="00E3633C"/>
    <w:rsid w:val="00E41EF9"/>
    <w:rsid w:val="00E44FE8"/>
    <w:rsid w:val="00E5060A"/>
    <w:rsid w:val="00E5126D"/>
    <w:rsid w:val="00E60D1A"/>
    <w:rsid w:val="00E63005"/>
    <w:rsid w:val="00E7213E"/>
    <w:rsid w:val="00E721ED"/>
    <w:rsid w:val="00E729A2"/>
    <w:rsid w:val="00E7323C"/>
    <w:rsid w:val="00E75927"/>
    <w:rsid w:val="00E76331"/>
    <w:rsid w:val="00E766DD"/>
    <w:rsid w:val="00E872C7"/>
    <w:rsid w:val="00E879B8"/>
    <w:rsid w:val="00E87C25"/>
    <w:rsid w:val="00E927C7"/>
    <w:rsid w:val="00E93D66"/>
    <w:rsid w:val="00E951C6"/>
    <w:rsid w:val="00EC2C3E"/>
    <w:rsid w:val="00EC3280"/>
    <w:rsid w:val="00EC401B"/>
    <w:rsid w:val="00EC6833"/>
    <w:rsid w:val="00EC6E7F"/>
    <w:rsid w:val="00ED4474"/>
    <w:rsid w:val="00ED4A96"/>
    <w:rsid w:val="00ED7BB0"/>
    <w:rsid w:val="00EE008A"/>
    <w:rsid w:val="00EE7E72"/>
    <w:rsid w:val="00EF1B86"/>
    <w:rsid w:val="00EF3033"/>
    <w:rsid w:val="00EF58A0"/>
    <w:rsid w:val="00F01806"/>
    <w:rsid w:val="00F019EE"/>
    <w:rsid w:val="00F02A3C"/>
    <w:rsid w:val="00F02AF6"/>
    <w:rsid w:val="00F0645E"/>
    <w:rsid w:val="00F10DEE"/>
    <w:rsid w:val="00F1342B"/>
    <w:rsid w:val="00F13FC1"/>
    <w:rsid w:val="00F32442"/>
    <w:rsid w:val="00F3483D"/>
    <w:rsid w:val="00F439D2"/>
    <w:rsid w:val="00F52077"/>
    <w:rsid w:val="00F520E3"/>
    <w:rsid w:val="00F543B8"/>
    <w:rsid w:val="00F57350"/>
    <w:rsid w:val="00F57600"/>
    <w:rsid w:val="00F61588"/>
    <w:rsid w:val="00F772CD"/>
    <w:rsid w:val="00F80AFF"/>
    <w:rsid w:val="00F86B4C"/>
    <w:rsid w:val="00F87F9A"/>
    <w:rsid w:val="00F92DD2"/>
    <w:rsid w:val="00FA52C3"/>
    <w:rsid w:val="00FB41B0"/>
    <w:rsid w:val="00FB4320"/>
    <w:rsid w:val="00FB508F"/>
    <w:rsid w:val="00FC4D96"/>
    <w:rsid w:val="00FC6A68"/>
    <w:rsid w:val="00FD1606"/>
    <w:rsid w:val="00FD3039"/>
    <w:rsid w:val="00FD680D"/>
    <w:rsid w:val="00FD79B0"/>
    <w:rsid w:val="00FE3A15"/>
    <w:rsid w:val="00FE4538"/>
    <w:rsid w:val="00FF499E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A55B-767A-4B45-9EB5-999887E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819"/>
  </w:style>
  <w:style w:type="paragraph" w:styleId="aa">
    <w:name w:val="footer"/>
    <w:basedOn w:val="a"/>
    <w:link w:val="ab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819"/>
  </w:style>
  <w:style w:type="character" w:styleId="ac">
    <w:name w:val="Hyperlink"/>
    <w:basedOn w:val="a0"/>
    <w:uiPriority w:val="99"/>
    <w:unhideWhenUsed/>
    <w:rsid w:val="00B95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vo-teplo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AF3A-5C69-45C8-9FD1-A32AF9A0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Админ#4</cp:lastModifiedBy>
  <cp:revision>16</cp:revision>
  <cp:lastPrinted>2020-08-11T11:41:00Z</cp:lastPrinted>
  <dcterms:created xsi:type="dcterms:W3CDTF">2019-10-10T10:43:00Z</dcterms:created>
  <dcterms:modified xsi:type="dcterms:W3CDTF">2020-08-12T07:37:00Z</dcterms:modified>
</cp:coreProperties>
</file>