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81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Таблиця 1</w:t>
      </w:r>
    </w:p>
    <w:p w:rsidR="00DF7081" w:rsidRPr="00F02AF6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proofErr w:type="spellStart"/>
      <w:r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>КП</w:t>
      </w:r>
      <w:proofErr w:type="spellEnd"/>
      <w:r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«Сватове-тепло» доводить до відома споживачів інформацію про</w:t>
      </w:r>
    </w:p>
    <w:p w:rsidR="00DF7081" w:rsidRPr="00F02AF6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причину зміни тарифів на теплову енергію, їх структуру та обґрунтування причини зміни</w:t>
      </w:r>
      <w:r w:rsidR="00F02AF6" w:rsidRPr="00F02AF6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1F44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(У зв’язку </w:t>
      </w:r>
      <w:r w:rsidR="00174F08">
        <w:rPr>
          <w:rFonts w:ascii="Times New Roman" w:hAnsi="Times New Roman" w:cs="Times New Roman"/>
          <w:b/>
          <w:i/>
          <w:sz w:val="28"/>
          <w:szCs w:val="28"/>
          <w:lang w:val="uk-UA"/>
        </w:rPr>
        <w:t>зі зміною ціни на енергоносії,</w:t>
      </w:r>
      <w:r w:rsidR="001F44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збільшенням мінімальної заробітної плати</w:t>
      </w:r>
      <w:r w:rsidR="00174F08">
        <w:rPr>
          <w:rFonts w:ascii="Times New Roman" w:hAnsi="Times New Roman" w:cs="Times New Roman"/>
          <w:b/>
          <w:i/>
          <w:sz w:val="28"/>
          <w:szCs w:val="28"/>
          <w:lang w:val="uk-UA"/>
        </w:rPr>
        <w:t>, зменшення  відсотків на нарахування заробітної плати</w:t>
      </w:r>
      <w:r w:rsidR="001F44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01.05.2016 р.)</w:t>
      </w:r>
    </w:p>
    <w:p w:rsidR="00DF7081" w:rsidRDefault="00DF7081" w:rsidP="00DF7081">
      <w:pPr>
        <w:tabs>
          <w:tab w:val="left" w:pos="4200"/>
          <w:tab w:val="right" w:pos="1457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РОЗРАХУНОК     ТАРИФІВ</w:t>
      </w:r>
    </w:p>
    <w:p w:rsidR="007657F0" w:rsidRPr="00F02AF6" w:rsidRDefault="00DF7081" w:rsidP="00DF7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>по комунальному підприємству «Сватове-т</w:t>
      </w:r>
      <w:r w:rsidR="007657F0">
        <w:rPr>
          <w:rFonts w:ascii="Times New Roman" w:hAnsi="Times New Roman" w:cs="Times New Roman"/>
          <w:b/>
          <w:sz w:val="28"/>
          <w:szCs w:val="28"/>
          <w:lang w:val="uk-UA"/>
        </w:rPr>
        <w:t>епло» на опалювальний сезон 2015-2016</w:t>
      </w: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                           </w:t>
      </w:r>
      <w:r w:rsidR="005E1F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2466"/>
        <w:gridCol w:w="721"/>
        <w:gridCol w:w="949"/>
        <w:gridCol w:w="810"/>
        <w:gridCol w:w="1027"/>
        <w:gridCol w:w="972"/>
        <w:gridCol w:w="1136"/>
        <w:gridCol w:w="1044"/>
        <w:gridCol w:w="998"/>
        <w:gridCol w:w="857"/>
        <w:gridCol w:w="998"/>
        <w:gridCol w:w="1131"/>
        <w:gridCol w:w="1018"/>
        <w:gridCol w:w="1041"/>
      </w:tblGrid>
      <w:tr w:rsidR="007657F0" w:rsidRPr="007657F0" w:rsidTr="007A4F55">
        <w:trPr>
          <w:trHeight w:val="379"/>
        </w:trPr>
        <w:tc>
          <w:tcPr>
            <w:tcW w:w="2466" w:type="dxa"/>
            <w:vMerge w:val="restart"/>
            <w:hideMark/>
          </w:tcPr>
          <w:p w:rsidR="007657F0" w:rsidRPr="00F52077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споживачі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</w:t>
            </w:r>
            <w:proofErr w:type="gramEnd"/>
          </w:p>
        </w:tc>
        <w:tc>
          <w:tcPr>
            <w:tcW w:w="721" w:type="dxa"/>
            <w:vMerge w:val="restart"/>
            <w:hideMark/>
          </w:tcPr>
          <w:p w:rsidR="007657F0" w:rsidRPr="007657F0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Питома вага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%</w:t>
            </w:r>
          </w:p>
        </w:tc>
        <w:tc>
          <w:tcPr>
            <w:tcW w:w="949" w:type="dxa"/>
            <w:vMerge w:val="restart"/>
            <w:hideMark/>
          </w:tcPr>
          <w:p w:rsidR="007657F0" w:rsidRPr="007657F0" w:rsidRDefault="00174F08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Відпуск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тепло-во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ї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енергії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, т.Гкал.</w:t>
            </w:r>
          </w:p>
        </w:tc>
        <w:tc>
          <w:tcPr>
            <w:tcW w:w="810" w:type="dxa"/>
            <w:vMerge w:val="restart"/>
            <w:hideMark/>
          </w:tcPr>
          <w:p w:rsidR="007657F0" w:rsidRPr="007657F0" w:rsidRDefault="00174F08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Собівартість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   1Гкал. </w:t>
            </w:r>
          </w:p>
        </w:tc>
        <w:tc>
          <w:tcPr>
            <w:tcW w:w="1027" w:type="dxa"/>
            <w:vMerge w:val="restart"/>
            <w:hideMark/>
          </w:tcPr>
          <w:p w:rsidR="007657F0" w:rsidRPr="007657F0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Витрати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т.грн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72" w:type="dxa"/>
            <w:vMerge w:val="restart"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Рентаб.%</w:t>
            </w:r>
            <w:proofErr w:type="spellEnd"/>
          </w:p>
        </w:tc>
        <w:tc>
          <w:tcPr>
            <w:tcW w:w="1136" w:type="dxa"/>
            <w:vMerge w:val="restart"/>
            <w:hideMark/>
          </w:tcPr>
          <w:p w:rsidR="007657F0" w:rsidRPr="007657F0" w:rsidRDefault="00174F08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буток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рн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042" w:type="dxa"/>
            <w:gridSpan w:val="2"/>
            <w:hideMark/>
          </w:tcPr>
          <w:p w:rsidR="007657F0" w:rsidRPr="007657F0" w:rsidRDefault="00B21005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Доходи</w:t>
            </w:r>
            <w:r w:rsidR="00F520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52077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F520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озрахункові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986" w:type="dxa"/>
            <w:gridSpan w:val="3"/>
            <w:hideMark/>
          </w:tcPr>
          <w:p w:rsidR="007657F0" w:rsidRPr="00F52077" w:rsidRDefault="00B21005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ількість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послуг</w:t>
            </w:r>
            <w:r w:rsidR="00F520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</w:t>
            </w:r>
            <w:proofErr w:type="gramStart"/>
            <w:r w:rsidR="00F52077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="00F520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proofErr w:type="spell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сяц</w:t>
            </w:r>
            <w:proofErr w:type="spellEnd"/>
            <w:r w:rsidR="00F520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ь</w:t>
            </w:r>
          </w:p>
        </w:tc>
        <w:tc>
          <w:tcPr>
            <w:tcW w:w="2059" w:type="dxa"/>
            <w:gridSpan w:val="2"/>
            <w:vMerge w:val="restart"/>
            <w:hideMark/>
          </w:tcPr>
          <w:p w:rsidR="007657F0" w:rsidRPr="00F52077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Тари</w:t>
            </w:r>
            <w:r w:rsidR="00F520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 за </w:t>
            </w:r>
            <w:r w:rsidR="00F5207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послуги з ПДВ</w:t>
            </w:r>
          </w:p>
        </w:tc>
      </w:tr>
      <w:tr w:rsidR="007657F0" w:rsidRPr="007657F0" w:rsidTr="007A4F55">
        <w:trPr>
          <w:trHeight w:val="325"/>
        </w:trPr>
        <w:tc>
          <w:tcPr>
            <w:tcW w:w="246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7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  <w:vMerge w:val="restart"/>
            <w:hideMark/>
          </w:tcPr>
          <w:p w:rsidR="007657F0" w:rsidRPr="007657F0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ПДВ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рн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8" w:type="dxa"/>
            <w:vMerge w:val="restart"/>
            <w:hideMark/>
          </w:tcPr>
          <w:p w:rsidR="007657F0" w:rsidRPr="007657F0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ПДВ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т.грн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7" w:type="dxa"/>
            <w:vMerge w:val="restart"/>
            <w:hideMark/>
          </w:tcPr>
          <w:p w:rsidR="007657F0" w:rsidRPr="00F52077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палення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т.м²/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998" w:type="dxa"/>
            <w:vMerge w:val="restart"/>
            <w:hideMark/>
          </w:tcPr>
          <w:p w:rsidR="007657F0" w:rsidRPr="007657F0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т.м³/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с.</w:t>
            </w:r>
          </w:p>
        </w:tc>
        <w:tc>
          <w:tcPr>
            <w:tcW w:w="1131" w:type="dxa"/>
            <w:vMerge w:val="restart"/>
            <w:hideMark/>
          </w:tcPr>
          <w:p w:rsidR="007657F0" w:rsidRPr="007657F0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 Питома вага од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ослуги </w:t>
            </w:r>
            <w:r w:rsidR="00B210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Гкал.</w:t>
            </w:r>
            <w:r w:rsidR="00B21005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д.</w:t>
            </w:r>
          </w:p>
        </w:tc>
        <w:tc>
          <w:tcPr>
            <w:tcW w:w="2059" w:type="dxa"/>
            <w:gridSpan w:val="2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657F0" w:rsidRPr="007657F0" w:rsidTr="007A4F55">
        <w:trPr>
          <w:trHeight w:val="325"/>
        </w:trPr>
        <w:tc>
          <w:tcPr>
            <w:tcW w:w="246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1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7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1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vMerge w:val="restart"/>
            <w:hideMark/>
          </w:tcPr>
          <w:p w:rsidR="007657F0" w:rsidRPr="007657F0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т/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е</w:t>
            </w:r>
            <w:proofErr w:type="spell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нерг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. грн./Гкал.</w:t>
            </w:r>
          </w:p>
        </w:tc>
        <w:tc>
          <w:tcPr>
            <w:tcW w:w="1041" w:type="dxa"/>
            <w:vMerge w:val="restart"/>
            <w:hideMark/>
          </w:tcPr>
          <w:p w:rsidR="007657F0" w:rsidRPr="007657F0" w:rsidRDefault="00F52077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Опалення</w:t>
            </w:r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грн./</w:t>
            </w:r>
            <w:proofErr w:type="gramStart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="007657F0"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²</w:t>
            </w:r>
          </w:p>
        </w:tc>
      </w:tr>
      <w:tr w:rsidR="007657F0" w:rsidRPr="007657F0" w:rsidTr="007A4F55">
        <w:trPr>
          <w:trHeight w:val="440"/>
        </w:trPr>
        <w:tc>
          <w:tcPr>
            <w:tcW w:w="246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7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4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8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1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8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vMerge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57F0" w:rsidRPr="007657F0" w:rsidTr="007A4F55">
        <w:trPr>
          <w:trHeight w:val="303"/>
        </w:trPr>
        <w:tc>
          <w:tcPr>
            <w:tcW w:w="2466" w:type="dxa"/>
            <w:noWrap/>
            <w:hideMark/>
          </w:tcPr>
          <w:p w:rsidR="007657F0" w:rsidRPr="00174F08" w:rsidRDefault="00F52077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ього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</w:t>
            </w:r>
            <w:proofErr w:type="gramStart"/>
            <w:r w:rsidR="00174F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</w:t>
            </w:r>
            <w:proofErr w:type="gramEnd"/>
            <w:r w:rsidR="00174F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ідприємству</w:t>
            </w:r>
          </w:p>
        </w:tc>
        <w:tc>
          <w:tcPr>
            <w:tcW w:w="72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49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7,649</w:t>
            </w:r>
          </w:p>
        </w:tc>
        <w:tc>
          <w:tcPr>
            <w:tcW w:w="810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1478,75</w:t>
            </w:r>
          </w:p>
        </w:tc>
        <w:tc>
          <w:tcPr>
            <w:tcW w:w="1027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11310,786</w:t>
            </w:r>
          </w:p>
        </w:tc>
        <w:tc>
          <w:tcPr>
            <w:tcW w:w="972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6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1131,079</w:t>
            </w:r>
          </w:p>
        </w:tc>
        <w:tc>
          <w:tcPr>
            <w:tcW w:w="1044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12441,865</w:t>
            </w:r>
          </w:p>
        </w:tc>
        <w:tc>
          <w:tcPr>
            <w:tcW w:w="998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14930,238</w:t>
            </w:r>
          </w:p>
        </w:tc>
        <w:tc>
          <w:tcPr>
            <w:tcW w:w="85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15,372</w:t>
            </w: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1951,92</w:t>
            </w:r>
          </w:p>
        </w:tc>
        <w:tc>
          <w:tcPr>
            <w:tcW w:w="104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657F0" w:rsidRPr="007657F0" w:rsidTr="007A4F55">
        <w:trPr>
          <w:trHeight w:val="409"/>
        </w:trPr>
        <w:tc>
          <w:tcPr>
            <w:tcW w:w="2466" w:type="dxa"/>
            <w:noWrap/>
            <w:hideMark/>
          </w:tcPr>
          <w:p w:rsidR="007657F0" w:rsidRPr="007657F0" w:rsidRDefault="00174F08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1.Населен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ня</w:t>
            </w:r>
            <w:proofErr w:type="spellEnd"/>
            <w:r w:rsidR="007657F0" w:rsidRPr="00765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в т.ч.:</w:t>
            </w:r>
          </w:p>
        </w:tc>
        <w:tc>
          <w:tcPr>
            <w:tcW w:w="72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7,92</w:t>
            </w:r>
          </w:p>
        </w:tc>
        <w:tc>
          <w:tcPr>
            <w:tcW w:w="949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0,606</w:t>
            </w:r>
          </w:p>
        </w:tc>
        <w:tc>
          <w:tcPr>
            <w:tcW w:w="810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750,81</w:t>
            </w:r>
          </w:p>
        </w:tc>
        <w:tc>
          <w:tcPr>
            <w:tcW w:w="1027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454,988</w:t>
            </w:r>
          </w:p>
        </w:tc>
        <w:tc>
          <w:tcPr>
            <w:tcW w:w="972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454,988</w:t>
            </w:r>
          </w:p>
        </w:tc>
        <w:tc>
          <w:tcPr>
            <w:tcW w:w="998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545,986</w:t>
            </w:r>
          </w:p>
        </w:tc>
        <w:tc>
          <w:tcPr>
            <w:tcW w:w="85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1,407</w:t>
            </w: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0,07176</w:t>
            </w:r>
          </w:p>
        </w:tc>
        <w:tc>
          <w:tcPr>
            <w:tcW w:w="1018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900,97</w:t>
            </w:r>
          </w:p>
        </w:tc>
        <w:tc>
          <w:tcPr>
            <w:tcW w:w="104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7657F0" w:rsidRPr="007657F0" w:rsidTr="007A4F55">
        <w:trPr>
          <w:trHeight w:val="409"/>
        </w:trPr>
        <w:tc>
          <w:tcPr>
            <w:tcW w:w="2466" w:type="dxa"/>
            <w:noWrap/>
            <w:hideMark/>
          </w:tcPr>
          <w:p w:rsidR="007657F0" w:rsidRPr="00174F08" w:rsidRDefault="00174F08" w:rsidP="00765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опалення</w:t>
            </w:r>
            <w:proofErr w:type="spellEnd"/>
          </w:p>
        </w:tc>
        <w:tc>
          <w:tcPr>
            <w:tcW w:w="72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7,92</w:t>
            </w:r>
          </w:p>
        </w:tc>
        <w:tc>
          <w:tcPr>
            <w:tcW w:w="949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0,606</w:t>
            </w:r>
          </w:p>
        </w:tc>
        <w:tc>
          <w:tcPr>
            <w:tcW w:w="810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750,81</w:t>
            </w:r>
          </w:p>
        </w:tc>
        <w:tc>
          <w:tcPr>
            <w:tcW w:w="1027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454,988</w:t>
            </w:r>
          </w:p>
        </w:tc>
        <w:tc>
          <w:tcPr>
            <w:tcW w:w="972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454,988</w:t>
            </w:r>
          </w:p>
        </w:tc>
        <w:tc>
          <w:tcPr>
            <w:tcW w:w="998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545,986</w:t>
            </w:r>
          </w:p>
        </w:tc>
        <w:tc>
          <w:tcPr>
            <w:tcW w:w="85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1,407</w:t>
            </w: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0,07176</w:t>
            </w:r>
          </w:p>
        </w:tc>
        <w:tc>
          <w:tcPr>
            <w:tcW w:w="1018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900,97</w:t>
            </w:r>
          </w:p>
        </w:tc>
        <w:tc>
          <w:tcPr>
            <w:tcW w:w="1041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64,78</w:t>
            </w:r>
          </w:p>
        </w:tc>
      </w:tr>
      <w:tr w:rsidR="007657F0" w:rsidRPr="007657F0" w:rsidTr="007A4F55">
        <w:trPr>
          <w:trHeight w:val="349"/>
        </w:trPr>
        <w:tc>
          <w:tcPr>
            <w:tcW w:w="2466" w:type="dxa"/>
            <w:noWrap/>
            <w:hideMark/>
          </w:tcPr>
          <w:p w:rsidR="007657F0" w:rsidRPr="007657F0" w:rsidRDefault="00174F08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 Інш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</w:t>
            </w:r>
            <w:r w:rsidR="007657F0" w:rsidRPr="00765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proofErr w:type="gramEnd"/>
            <w:r w:rsidR="007657F0" w:rsidRPr="00765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т.ч.</w:t>
            </w:r>
          </w:p>
        </w:tc>
        <w:tc>
          <w:tcPr>
            <w:tcW w:w="72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49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7657F0" w:rsidRPr="007657F0" w:rsidTr="007A4F55">
        <w:trPr>
          <w:trHeight w:val="516"/>
        </w:trPr>
        <w:tc>
          <w:tcPr>
            <w:tcW w:w="2466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 Бюджет</w:t>
            </w:r>
          </w:p>
        </w:tc>
        <w:tc>
          <w:tcPr>
            <w:tcW w:w="72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92,08</w:t>
            </w:r>
          </w:p>
        </w:tc>
        <w:tc>
          <w:tcPr>
            <w:tcW w:w="949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7,043</w:t>
            </w:r>
          </w:p>
        </w:tc>
        <w:tc>
          <w:tcPr>
            <w:tcW w:w="810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1541,38</w:t>
            </w:r>
          </w:p>
        </w:tc>
        <w:tc>
          <w:tcPr>
            <w:tcW w:w="1027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10855,798</w:t>
            </w:r>
          </w:p>
        </w:tc>
        <w:tc>
          <w:tcPr>
            <w:tcW w:w="972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10,42</w:t>
            </w:r>
          </w:p>
        </w:tc>
        <w:tc>
          <w:tcPr>
            <w:tcW w:w="1136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1131,079</w:t>
            </w:r>
          </w:p>
        </w:tc>
        <w:tc>
          <w:tcPr>
            <w:tcW w:w="1044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11986,877</w:t>
            </w:r>
          </w:p>
        </w:tc>
        <w:tc>
          <w:tcPr>
            <w:tcW w:w="998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14384,252</w:t>
            </w:r>
          </w:p>
        </w:tc>
        <w:tc>
          <w:tcPr>
            <w:tcW w:w="85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8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2042,35</w:t>
            </w:r>
          </w:p>
        </w:tc>
        <w:tc>
          <w:tcPr>
            <w:tcW w:w="104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657F0" w:rsidRPr="007657F0" w:rsidTr="007A4F55">
        <w:trPr>
          <w:trHeight w:val="470"/>
        </w:trPr>
        <w:tc>
          <w:tcPr>
            <w:tcW w:w="2466" w:type="dxa"/>
            <w:noWrap/>
            <w:hideMark/>
          </w:tcPr>
          <w:p w:rsidR="007657F0" w:rsidRPr="00174F08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657F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174F0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палення</w:t>
            </w:r>
          </w:p>
        </w:tc>
        <w:tc>
          <w:tcPr>
            <w:tcW w:w="72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70,71</w:t>
            </w:r>
          </w:p>
        </w:tc>
        <w:tc>
          <w:tcPr>
            <w:tcW w:w="949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5,408</w:t>
            </w:r>
          </w:p>
        </w:tc>
        <w:tc>
          <w:tcPr>
            <w:tcW w:w="810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1541,38</w:t>
            </w:r>
          </w:p>
        </w:tc>
        <w:tc>
          <w:tcPr>
            <w:tcW w:w="1027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8335,515</w:t>
            </w:r>
          </w:p>
        </w:tc>
        <w:tc>
          <w:tcPr>
            <w:tcW w:w="972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10,42</w:t>
            </w:r>
          </w:p>
        </w:tc>
        <w:tc>
          <w:tcPr>
            <w:tcW w:w="1136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868,487</w:t>
            </w:r>
          </w:p>
        </w:tc>
        <w:tc>
          <w:tcPr>
            <w:tcW w:w="1044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9204,002</w:t>
            </w:r>
          </w:p>
        </w:tc>
        <w:tc>
          <w:tcPr>
            <w:tcW w:w="998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11044,803</w:t>
            </w:r>
          </w:p>
        </w:tc>
        <w:tc>
          <w:tcPr>
            <w:tcW w:w="85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13,965</w:t>
            </w: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0,06454</w:t>
            </w:r>
          </w:p>
        </w:tc>
        <w:tc>
          <w:tcPr>
            <w:tcW w:w="1018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2042,35</w:t>
            </w:r>
          </w:p>
        </w:tc>
        <w:tc>
          <w:tcPr>
            <w:tcW w:w="1041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131,82</w:t>
            </w:r>
          </w:p>
        </w:tc>
      </w:tr>
      <w:tr w:rsidR="007657F0" w:rsidRPr="007657F0" w:rsidTr="007A4F55">
        <w:trPr>
          <w:trHeight w:val="394"/>
        </w:trPr>
        <w:tc>
          <w:tcPr>
            <w:tcW w:w="2466" w:type="dxa"/>
            <w:noWrap/>
            <w:hideMark/>
          </w:tcPr>
          <w:p w:rsidR="007657F0" w:rsidRPr="00174F08" w:rsidRDefault="00174F08" w:rsidP="00765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ГВП</w:t>
            </w:r>
          </w:p>
        </w:tc>
        <w:tc>
          <w:tcPr>
            <w:tcW w:w="72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21,37</w:t>
            </w:r>
          </w:p>
        </w:tc>
        <w:tc>
          <w:tcPr>
            <w:tcW w:w="949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1,634</w:t>
            </w:r>
          </w:p>
        </w:tc>
        <w:tc>
          <w:tcPr>
            <w:tcW w:w="810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1541,38</w:t>
            </w:r>
          </w:p>
        </w:tc>
        <w:tc>
          <w:tcPr>
            <w:tcW w:w="1027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2520,283</w:t>
            </w:r>
          </w:p>
        </w:tc>
        <w:tc>
          <w:tcPr>
            <w:tcW w:w="972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10,42</w:t>
            </w:r>
          </w:p>
        </w:tc>
        <w:tc>
          <w:tcPr>
            <w:tcW w:w="1136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262,591</w:t>
            </w:r>
          </w:p>
        </w:tc>
        <w:tc>
          <w:tcPr>
            <w:tcW w:w="1044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2782,874</w:t>
            </w:r>
          </w:p>
        </w:tc>
        <w:tc>
          <w:tcPr>
            <w:tcW w:w="998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3339,449</w:t>
            </w:r>
          </w:p>
        </w:tc>
        <w:tc>
          <w:tcPr>
            <w:tcW w:w="85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2,563</w:t>
            </w:r>
          </w:p>
        </w:tc>
        <w:tc>
          <w:tcPr>
            <w:tcW w:w="113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0,05313</w:t>
            </w:r>
          </w:p>
        </w:tc>
        <w:tc>
          <w:tcPr>
            <w:tcW w:w="1018" w:type="dxa"/>
            <w:noWrap/>
            <w:hideMark/>
          </w:tcPr>
          <w:p w:rsidR="007657F0" w:rsidRPr="00F019EE" w:rsidRDefault="00F019EE" w:rsidP="007657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2042,35</w:t>
            </w:r>
          </w:p>
        </w:tc>
        <w:tc>
          <w:tcPr>
            <w:tcW w:w="104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F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7657F0" w:rsidRPr="007657F0" w:rsidTr="007A4F55">
        <w:trPr>
          <w:trHeight w:val="425"/>
        </w:trPr>
        <w:tc>
          <w:tcPr>
            <w:tcW w:w="2466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2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4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noWrap/>
            <w:hideMark/>
          </w:tcPr>
          <w:p w:rsidR="007657F0" w:rsidRPr="007657F0" w:rsidRDefault="007657F0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02AF6" w:rsidRPr="00F02AF6" w:rsidRDefault="00DF7081" w:rsidP="00F02AF6">
      <w:pPr>
        <w:tabs>
          <w:tab w:val="left" w:pos="489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2AF6">
        <w:rPr>
          <w:rFonts w:ascii="Times New Roman" w:hAnsi="Times New Roman" w:cs="Times New Roman"/>
          <w:sz w:val="24"/>
          <w:szCs w:val="24"/>
          <w:u w:val="single"/>
          <w:lang w:val="uk-UA"/>
        </w:rPr>
        <w:t>Розрахунок тарифів на послуги з централізованого опалення та гарячого водопостачання склав:</w:t>
      </w:r>
      <w:r w:rsidRPr="00F02AF6">
        <w:rPr>
          <w:rFonts w:ascii="Times New Roman" w:hAnsi="Times New Roman" w:cs="Times New Roman"/>
          <w:sz w:val="24"/>
          <w:szCs w:val="24"/>
          <w:lang w:val="uk-UA"/>
        </w:rPr>
        <w:t xml:space="preserve"> – тариф для гуртожитку школ</w:t>
      </w:r>
      <w:r w:rsidR="00F019EE">
        <w:rPr>
          <w:rFonts w:ascii="Times New Roman" w:hAnsi="Times New Roman" w:cs="Times New Roman"/>
          <w:sz w:val="24"/>
          <w:szCs w:val="24"/>
          <w:lang w:val="uk-UA"/>
        </w:rPr>
        <w:t>и-інтернат (населення) склав 900 грн. 97 коп., або 64 грн. 78</w:t>
      </w:r>
      <w:r w:rsidRPr="00F02AF6">
        <w:rPr>
          <w:rFonts w:ascii="Times New Roman" w:hAnsi="Times New Roman" w:cs="Times New Roman"/>
          <w:sz w:val="24"/>
          <w:szCs w:val="24"/>
          <w:lang w:val="uk-UA"/>
        </w:rPr>
        <w:t xml:space="preserve"> коп. з ПДВ за 1м² опалювальної площі в місяць опалювального сезону;</w:t>
      </w:r>
    </w:p>
    <w:p w:rsidR="00F02AF6" w:rsidRDefault="006802F3" w:rsidP="00F02AF6">
      <w:pPr>
        <w:tabs>
          <w:tab w:val="left" w:pos="48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– для бюджетних організацій </w:t>
      </w:r>
      <w:r w:rsidR="00F019EE">
        <w:rPr>
          <w:rFonts w:ascii="Times New Roman" w:hAnsi="Times New Roman" w:cs="Times New Roman"/>
          <w:sz w:val="24"/>
          <w:szCs w:val="24"/>
          <w:lang w:val="uk-UA"/>
        </w:rPr>
        <w:t>2042 грн. 35</w:t>
      </w:r>
      <w:r w:rsidR="00BA4F6F" w:rsidRPr="00F02AF6">
        <w:rPr>
          <w:rFonts w:ascii="Times New Roman" w:hAnsi="Times New Roman" w:cs="Times New Roman"/>
          <w:sz w:val="24"/>
          <w:szCs w:val="24"/>
          <w:lang w:val="uk-UA"/>
        </w:rPr>
        <w:t>коп.</w:t>
      </w:r>
      <w:r w:rsidR="00307C2C">
        <w:rPr>
          <w:rFonts w:ascii="Times New Roman" w:hAnsi="Times New Roman" w:cs="Times New Roman"/>
          <w:sz w:val="24"/>
          <w:szCs w:val="24"/>
          <w:lang w:val="uk-UA"/>
        </w:rPr>
        <w:t xml:space="preserve"> за 1 </w:t>
      </w:r>
      <w:proofErr w:type="spellStart"/>
      <w:r w:rsidR="00307C2C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307C2C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F019EE">
        <w:rPr>
          <w:rFonts w:ascii="Times New Roman" w:hAnsi="Times New Roman" w:cs="Times New Roman"/>
          <w:sz w:val="24"/>
          <w:szCs w:val="24"/>
          <w:lang w:val="uk-UA"/>
        </w:rPr>
        <w:t>131 грн. 82</w:t>
      </w:r>
      <w:r w:rsidR="00DF7081" w:rsidRPr="00F02AF6">
        <w:rPr>
          <w:rFonts w:ascii="Times New Roman" w:hAnsi="Times New Roman" w:cs="Times New Roman"/>
          <w:sz w:val="24"/>
          <w:szCs w:val="24"/>
          <w:lang w:val="uk-UA"/>
        </w:rPr>
        <w:t xml:space="preserve"> коп. з ПДВ за 1м² опалювальної площі в місяць опалювального сезону</w:t>
      </w:r>
      <w:r w:rsidR="00DF70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7081" w:rsidRPr="00EA3933" w:rsidRDefault="00DF7081" w:rsidP="00F02AF6">
      <w:pPr>
        <w:tabs>
          <w:tab w:val="left" w:pos="489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3933">
        <w:rPr>
          <w:rFonts w:ascii="Times New Roman" w:hAnsi="Times New Roman" w:cs="Times New Roman"/>
          <w:sz w:val="28"/>
          <w:szCs w:val="28"/>
          <w:lang w:val="uk-UA"/>
        </w:rPr>
        <w:t>Всі витрати</w:t>
      </w:r>
      <w:r w:rsidR="008F7EC2">
        <w:rPr>
          <w:rFonts w:ascii="Times New Roman" w:hAnsi="Times New Roman" w:cs="Times New Roman"/>
          <w:sz w:val="28"/>
          <w:szCs w:val="28"/>
          <w:lang w:val="uk-UA"/>
        </w:rPr>
        <w:t xml:space="preserve"> по підприємству склали </w:t>
      </w:r>
      <w:r w:rsidR="00F019EE">
        <w:rPr>
          <w:rFonts w:ascii="Times New Roman" w:hAnsi="Times New Roman" w:cs="Times New Roman"/>
          <w:sz w:val="28"/>
          <w:szCs w:val="28"/>
          <w:lang w:val="uk-UA"/>
        </w:rPr>
        <w:t>11310,786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 xml:space="preserve"> т. г</w:t>
      </w:r>
      <w:r w:rsidR="00BA4F6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F7EC2">
        <w:rPr>
          <w:rFonts w:ascii="Times New Roman" w:hAnsi="Times New Roman" w:cs="Times New Roman"/>
          <w:sz w:val="28"/>
          <w:szCs w:val="28"/>
          <w:lang w:val="uk-UA"/>
        </w:rPr>
        <w:t xml:space="preserve">н., планований прибуток  </w:t>
      </w:r>
      <w:r w:rsidR="00F019EE">
        <w:rPr>
          <w:rFonts w:ascii="Times New Roman" w:hAnsi="Times New Roman" w:cs="Times New Roman"/>
          <w:sz w:val="28"/>
          <w:szCs w:val="28"/>
          <w:lang w:val="uk-UA"/>
        </w:rPr>
        <w:t>1131,079</w:t>
      </w:r>
      <w:r w:rsidR="005E1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>т. грн.,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8F7EC2">
        <w:rPr>
          <w:rFonts w:ascii="Times New Roman" w:hAnsi="Times New Roman" w:cs="Times New Roman"/>
          <w:sz w:val="28"/>
          <w:szCs w:val="28"/>
          <w:lang w:val="uk-UA"/>
        </w:rPr>
        <w:t xml:space="preserve">          доходи з ПДВ </w:t>
      </w:r>
      <w:r w:rsidR="00F019EE">
        <w:rPr>
          <w:rFonts w:ascii="Times New Roman" w:hAnsi="Times New Roman" w:cs="Times New Roman"/>
          <w:sz w:val="28"/>
          <w:szCs w:val="28"/>
          <w:lang w:val="uk-UA"/>
        </w:rPr>
        <w:t>14930,238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3933">
        <w:rPr>
          <w:rFonts w:ascii="Times New Roman" w:hAnsi="Times New Roman" w:cs="Times New Roman"/>
          <w:sz w:val="28"/>
          <w:szCs w:val="28"/>
          <w:lang w:val="uk-UA"/>
        </w:rPr>
        <w:t>т.грн</w:t>
      </w:r>
      <w:proofErr w:type="spellEnd"/>
      <w:r w:rsidRPr="00EA39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4F55" w:rsidRDefault="00DF7081" w:rsidP="00DF70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                                                                                                                                                      </w:t>
      </w:r>
    </w:p>
    <w:p w:rsidR="00DF7081" w:rsidRDefault="007A4F55" w:rsidP="00DF708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</w:t>
      </w:r>
      <w:r w:rsidR="00DF7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081">
        <w:rPr>
          <w:rFonts w:ascii="Times New Roman" w:hAnsi="Times New Roman" w:cs="Times New Roman"/>
          <w:b/>
          <w:i/>
          <w:sz w:val="32"/>
          <w:szCs w:val="32"/>
          <w:lang w:val="uk-UA"/>
        </w:rPr>
        <w:t>Таблиця 2</w:t>
      </w:r>
    </w:p>
    <w:p w:rsidR="00DF7081" w:rsidRDefault="00174F08" w:rsidP="00DF7081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Плановий розрахунок собівартості по групам </w:t>
      </w:r>
      <w:r w:rsidR="00F52077">
        <w:rPr>
          <w:rFonts w:ascii="Times New Roman" w:hAnsi="Times New Roman" w:cs="Times New Roman"/>
          <w:b/>
          <w:sz w:val="28"/>
          <w:szCs w:val="28"/>
          <w:lang w:val="uk-UA"/>
        </w:rPr>
        <w:t>споживачів</w:t>
      </w:r>
    </w:p>
    <w:tbl>
      <w:tblPr>
        <w:tblW w:w="15721" w:type="dxa"/>
        <w:tblInd w:w="-34" w:type="dxa"/>
        <w:tblLook w:val="04A0"/>
      </w:tblPr>
      <w:tblGrid>
        <w:gridCol w:w="622"/>
        <w:gridCol w:w="2760"/>
        <w:gridCol w:w="808"/>
        <w:gridCol w:w="1067"/>
        <w:gridCol w:w="1253"/>
        <w:gridCol w:w="1108"/>
        <w:gridCol w:w="913"/>
        <w:gridCol w:w="867"/>
        <w:gridCol w:w="1040"/>
        <w:gridCol w:w="1019"/>
        <w:gridCol w:w="913"/>
        <w:gridCol w:w="1067"/>
        <w:gridCol w:w="1019"/>
        <w:gridCol w:w="1295"/>
      </w:tblGrid>
      <w:tr w:rsidR="007A4F55" w:rsidRPr="007A4F55" w:rsidTr="007A4F55">
        <w:trPr>
          <w:trHeight w:val="600"/>
        </w:trPr>
        <w:tc>
          <w:tcPr>
            <w:tcW w:w="157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4F55" w:rsidRPr="00A675FF" w:rsidRDefault="00F52077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по коммунальному 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val="uk-UA" w:eastAsia="ru-RU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val="uk-UA" w:eastAsia="ru-RU"/>
              </w:rPr>
              <w:t>ідприємству</w:t>
            </w:r>
            <w:r w:rsidR="007A4F55" w:rsidRPr="007A4F55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"С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ватов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val="uk-UA" w:eastAsia="ru-RU"/>
              </w:rPr>
              <w:t>е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-тепло" на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 опалювальний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сезон 2015-201</w:t>
            </w:r>
            <w:r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val="uk-UA" w:eastAsia="ru-RU"/>
              </w:rPr>
              <w:t>6рр</w:t>
            </w:r>
            <w:r w:rsidR="007A4F55" w:rsidRPr="007A4F55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="00A675F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val="uk-UA" w:eastAsia="ru-RU"/>
              </w:rPr>
              <w:t xml:space="preserve"> з 01.05.2016 р.</w:t>
            </w:r>
          </w:p>
        </w:tc>
      </w:tr>
      <w:tr w:rsidR="007A4F55" w:rsidRPr="007A4F55" w:rsidTr="007A4F55">
        <w:trPr>
          <w:trHeight w:val="255"/>
        </w:trPr>
        <w:tc>
          <w:tcPr>
            <w:tcW w:w="62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/</w:t>
            </w:r>
            <w:proofErr w:type="spellStart"/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55" w:rsidRPr="00B21005" w:rsidRDefault="00B2100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  <w:t>Показники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F52077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  <w:t>О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д.</w:t>
            </w: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  <w:t>вим</w:t>
            </w:r>
            <w:proofErr w:type="spellEnd"/>
            <w:r w:rsidR="007A4F55"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5" w:rsidRPr="00A62081" w:rsidRDefault="00A62081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Полна</w:t>
            </w:r>
            <w:r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  <w:t xml:space="preserve"> собівартість</w:t>
            </w:r>
          </w:p>
        </w:tc>
        <w:tc>
          <w:tcPr>
            <w:tcW w:w="813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4F55" w:rsidRPr="00A62081" w:rsidRDefault="00B2100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том</w:t>
            </w:r>
            <w:r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  <w:t>у числі</w:t>
            </w:r>
            <w:r w:rsidR="00A6208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 группам </w:t>
            </w:r>
            <w:r w:rsidR="00A62081"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  <w:t xml:space="preserve"> споживачів</w:t>
            </w:r>
          </w:p>
        </w:tc>
      </w:tr>
      <w:tr w:rsidR="007A4F55" w:rsidRPr="007A4F55" w:rsidTr="007A4F55">
        <w:trPr>
          <w:trHeight w:val="180"/>
        </w:trPr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F55" w:rsidRPr="00B21005" w:rsidRDefault="00B21005" w:rsidP="007A4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населення</w:t>
            </w:r>
          </w:p>
        </w:tc>
        <w:tc>
          <w:tcPr>
            <w:tcW w:w="4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F55" w:rsidRPr="007A4F55" w:rsidRDefault="00A62081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бюджет </w:t>
            </w:r>
            <w:r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  <w:t>та інші</w:t>
            </w:r>
            <w:r w:rsidR="007A4F55"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</w:tr>
      <w:tr w:rsidR="007A4F55" w:rsidRPr="007A4F55" w:rsidTr="007A4F55">
        <w:trPr>
          <w:trHeight w:val="255"/>
        </w:trPr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B21005" w:rsidRDefault="00B2100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  <w:t>Всього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грн</w:t>
            </w:r>
            <w:proofErr w:type="gramStart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.н</w:t>
            </w:r>
            <w:proofErr w:type="gramEnd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</w:t>
            </w:r>
            <w:proofErr w:type="spellEnd"/>
            <w:r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1Гкал.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5" w:rsidRPr="007A4F55" w:rsidRDefault="00A62081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  <w:t>Питома вага</w:t>
            </w:r>
            <w:r w:rsidR="007A4F55"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%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A62081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</w:t>
            </w:r>
            <w:r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  <w:t>и</w:t>
            </w:r>
            <w:r w:rsidR="007A4F55"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Start"/>
            <w:r w:rsidR="007A4F55"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.Г</w:t>
            </w:r>
            <w:proofErr w:type="gramEnd"/>
            <w:r w:rsidR="007A4F55"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кал.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A62081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</w:t>
            </w:r>
            <w:r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  <w:t>и</w:t>
            </w:r>
            <w:proofErr w:type="spellStart"/>
            <w:r w:rsidR="007A4F55"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с.грн</w:t>
            </w:r>
            <w:proofErr w:type="spellEnd"/>
            <w:r w:rsidR="007A4F55"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5" w:rsidRPr="007A4F55" w:rsidRDefault="00A62081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грн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r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  <w:t>з</w:t>
            </w:r>
            <w:proofErr w:type="gramEnd"/>
            <w:r w:rsidR="007A4F55"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 1Гкал.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A4F55" w:rsidRPr="007A4F55" w:rsidRDefault="00A62081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  <w:t>Питома вага</w:t>
            </w:r>
            <w:r w:rsidR="007A4F55"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A62081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</w:t>
            </w:r>
            <w:r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  <w:t>и</w:t>
            </w:r>
            <w:r w:rsidR="007A4F55"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</w:t>
            </w:r>
            <w:proofErr w:type="gramStart"/>
            <w:r w:rsidR="007A4F55"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.Г</w:t>
            </w:r>
            <w:proofErr w:type="gramEnd"/>
            <w:r w:rsidR="007A4F55"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кал.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A62081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</w:t>
            </w:r>
            <w:r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  <w:t>и</w:t>
            </w:r>
            <w:proofErr w:type="spellStart"/>
            <w:r w:rsidR="007A4F55"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с.грн</w:t>
            </w:r>
            <w:proofErr w:type="spellEnd"/>
            <w:r w:rsidR="007A4F55"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5" w:rsidRPr="007A4F55" w:rsidRDefault="00A62081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грн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  <w:r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  <w:t>з</w:t>
            </w:r>
            <w:proofErr w:type="gramEnd"/>
            <w:r w:rsidR="007A4F55"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 1Гкал.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5" w:rsidRPr="007A4F55" w:rsidRDefault="00A62081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uk-UA" w:eastAsia="ru-RU"/>
              </w:rPr>
              <w:t>Питома вага</w:t>
            </w:r>
            <w:r w:rsidR="007A4F55" w:rsidRPr="007A4F5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%</w:t>
            </w:r>
          </w:p>
        </w:tc>
      </w:tr>
      <w:tr w:rsidR="007A4F55" w:rsidRPr="007A4F55" w:rsidTr="007A4F55">
        <w:trPr>
          <w:trHeight w:val="255"/>
        </w:trPr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A4F55" w:rsidRPr="007A4F55" w:rsidTr="007A4F55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7A4F55" w:rsidRPr="007A4F55" w:rsidTr="007A4F55">
        <w:trPr>
          <w:trHeight w:val="25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F55" w:rsidRPr="00A62081" w:rsidRDefault="00A62081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t>Відпуск теплоенергії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gramStart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.г</w:t>
            </w:r>
            <w:proofErr w:type="gramEnd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кал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7,649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1478,75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0,606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454,988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750,71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7,043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10855,798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1541,38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92,08</w:t>
            </w:r>
          </w:p>
        </w:tc>
      </w:tr>
      <w:tr w:rsidR="007A4F55" w:rsidRPr="007A4F55" w:rsidTr="007A4F55">
        <w:trPr>
          <w:trHeight w:val="25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F55" w:rsidRPr="00A62081" w:rsidRDefault="00A62081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Питома вага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A4F55" w:rsidRPr="007A4F55" w:rsidTr="007A4F55">
        <w:trPr>
          <w:trHeight w:val="51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F55" w:rsidRPr="00A62081" w:rsidRDefault="00A62081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Виробнича собівартість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gramStart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.г</w:t>
            </w:r>
            <w:proofErr w:type="gramEnd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рн</w:t>
            </w:r>
            <w:proofErr w:type="spellEnd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F019EE" w:rsidRDefault="00F019EE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10790,740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1410,75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413,800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682,84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3,83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10376,940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1473,39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96,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17</w:t>
            </w:r>
          </w:p>
        </w:tc>
      </w:tr>
      <w:tr w:rsidR="007A4F55" w:rsidRPr="007A4F55" w:rsidTr="007A4F55">
        <w:trPr>
          <w:trHeight w:val="2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F55" w:rsidRPr="00A62081" w:rsidRDefault="00B2100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Прямі</w:t>
            </w:r>
            <w:r w:rsidR="00A62081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витрати, всього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F019EE" w:rsidRDefault="00F019EE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9206,690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1203,69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81,4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288,343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475,81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3,13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ru-RU"/>
              </w:rPr>
              <w:t>8918,347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1266,32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6,87</w:t>
            </w:r>
          </w:p>
        </w:tc>
      </w:tr>
      <w:tr w:rsidR="007A4F55" w:rsidRPr="007A4F55" w:rsidTr="007A4F55">
        <w:trPr>
          <w:trHeight w:val="48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F55" w:rsidRPr="007A4F55" w:rsidRDefault="00B2100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Прямі</w:t>
            </w:r>
            <w:r w:rsidR="00A62081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матеріальні витрати</w:t>
            </w:r>
            <w:r w:rsidR="007A4F55"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gramStart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.г</w:t>
            </w:r>
            <w:proofErr w:type="gramEnd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рн</w:t>
            </w:r>
            <w:proofErr w:type="spellEnd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F019EE" w:rsidRDefault="00F019EE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8567,995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1120,16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75,8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237,758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392,34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2,77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8330,237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1182,78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97,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23</w:t>
            </w:r>
          </w:p>
        </w:tc>
      </w:tr>
      <w:tr w:rsidR="007A4F55" w:rsidRPr="007A4F55" w:rsidTr="007A4F55">
        <w:trPr>
          <w:trHeight w:val="24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F55" w:rsidRPr="00B21005" w:rsidRDefault="00B2100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матеріали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gramStart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.г</w:t>
            </w:r>
            <w:proofErr w:type="gramEnd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рн</w:t>
            </w:r>
            <w:proofErr w:type="spellEnd"/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7A4F55" w:rsidRPr="007A4F55" w:rsidTr="007A4F55">
        <w:trPr>
          <w:trHeight w:val="2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F55" w:rsidRPr="00A62081" w:rsidRDefault="00A62081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паливо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F019EE" w:rsidRDefault="00F019EE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7683,320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1004,49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67,9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167,692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276,72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2,18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7515,628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1067,12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7,82</w:t>
            </w:r>
          </w:p>
        </w:tc>
      </w:tr>
      <w:tr w:rsidR="007A4F55" w:rsidRPr="007A4F55" w:rsidTr="007A4F55">
        <w:trPr>
          <w:trHeight w:val="2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F55" w:rsidRPr="00A62081" w:rsidRDefault="00A62081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електроенергія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F019EE" w:rsidRDefault="00F019EE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691,875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90,46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6,1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54,797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90,42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637,079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90,46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7A4F55" w:rsidRPr="007A4F55" w:rsidTr="007A4F55">
        <w:trPr>
          <w:trHeight w:val="22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187,147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24,47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1,7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14,822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24,46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172,325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24,47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7A4F55" w:rsidRPr="007A4F55" w:rsidTr="007A4F55">
        <w:trPr>
          <w:trHeight w:val="24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стоки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5,652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0,448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0,74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5,205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0,74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92,09</w:t>
            </w:r>
          </w:p>
        </w:tc>
      </w:tr>
      <w:tr w:rsidR="007A4F55" w:rsidRPr="007A4F55" w:rsidTr="007A4F55">
        <w:trPr>
          <w:trHeight w:val="55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5" w:rsidRPr="00A62081" w:rsidRDefault="00A62081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Пря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м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і витрати на оплату праці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F019EE" w:rsidRDefault="00F019EE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506,965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66,28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4,5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40,152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66,26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466,812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66,28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7A4F55" w:rsidRPr="007A4F55" w:rsidTr="007A4F55">
        <w:trPr>
          <w:trHeight w:val="34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5" w:rsidRPr="00A62081" w:rsidRDefault="00A62081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Другі прямі витрати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131,731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17,22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10,433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17,22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121,298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17,22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7A4F55" w:rsidRPr="007A4F55" w:rsidTr="007A4F55">
        <w:trPr>
          <w:trHeight w:val="54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5" w:rsidRPr="00A62081" w:rsidRDefault="00B2100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Нарахування</w:t>
            </w:r>
            <w:r w:rsidR="00A62081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на заробітну плату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111,532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14,58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8,833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14,58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102,699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14,58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7A4F55" w:rsidRPr="007A4F55" w:rsidTr="007A4F55">
        <w:trPr>
          <w:trHeight w:val="33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5" w:rsidRPr="00B21005" w:rsidRDefault="00B21005" w:rsidP="007A4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Амортизація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20,199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1,600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2,64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18,599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2,64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7A4F55" w:rsidRPr="007A4F55" w:rsidTr="007A4F55">
        <w:trPr>
          <w:trHeight w:val="51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5" w:rsidRPr="00A62081" w:rsidRDefault="00A62081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Загальновиробничі витрати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1584,050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207,09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14,0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125,457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207,02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4F5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1458,593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207,10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7A4F55" w:rsidRPr="007A4F55" w:rsidTr="007A4F55">
        <w:trPr>
          <w:trHeight w:val="540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5" w:rsidRPr="00A62081" w:rsidRDefault="00B2100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Адміністративні </w:t>
            </w:r>
            <w:r w:rsidR="00A620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A62081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 xml:space="preserve"> витрати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305,009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39,88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24,157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39,86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280,853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39,88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7A4F55" w:rsidRPr="007A4F55" w:rsidTr="007A4F55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5" w:rsidRPr="00B21005" w:rsidRDefault="00B21005" w:rsidP="007A4F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Витрати на збут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215,036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28,11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17,031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28,10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7,92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198,005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28,12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92,08</w:t>
            </w:r>
          </w:p>
        </w:tc>
      </w:tr>
      <w:tr w:rsidR="007A4F55" w:rsidRPr="007A4F55" w:rsidTr="007A4F55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F55" w:rsidRPr="00B21005" w:rsidRDefault="00B21005" w:rsidP="007A4F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ru-RU"/>
              </w:rPr>
              <w:t>Повна  собівартість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55" w:rsidRPr="007A4F55" w:rsidRDefault="007A4F55" w:rsidP="007A4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4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11310,786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1478,75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454,988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5B723D" w:rsidRDefault="005B723D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750,81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4,02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7A4F55" w:rsidRDefault="007A4F55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A4F55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10855,798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1541,38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4F55" w:rsidRPr="00A675FF" w:rsidRDefault="00A675FF" w:rsidP="007A4F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5,98</w:t>
            </w:r>
          </w:p>
        </w:tc>
      </w:tr>
    </w:tbl>
    <w:p w:rsidR="00DF7081" w:rsidRDefault="00DF7081" w:rsidP="00DF70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DF7081" w:rsidSect="00BA4F6F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DF7081" w:rsidRDefault="00DF7081" w:rsidP="00DF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 xml:space="preserve">                                                                                                Таблиця 3</w:t>
      </w:r>
    </w:p>
    <w:p w:rsidR="00DF7081" w:rsidRDefault="00DF7081" w:rsidP="00DF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CD65F2" w:rsidRDefault="00DF7081" w:rsidP="00DF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5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причин зміни тарифу</w:t>
      </w:r>
    </w:p>
    <w:p w:rsidR="00DF7081" w:rsidRDefault="00DF7081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планових витрат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 пов’язаних з виробництвом,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транспортуванням, постачанням теплової енергії та наданням послуг з централізованого опалення у порівнянні з витратами врахова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ними в діючих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тарифах</w:t>
      </w:r>
      <w:r w:rsidR="00C423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опалювальний період 2015-2016 рр</w:t>
      </w:r>
      <w:r w:rsidR="00E6300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7C6447" w:rsidRDefault="007C6447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6447" w:rsidRPr="006345B1" w:rsidRDefault="007C6447" w:rsidP="00DF70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964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251"/>
        <w:gridCol w:w="1245"/>
        <w:gridCol w:w="1223"/>
        <w:gridCol w:w="1275"/>
        <w:gridCol w:w="1100"/>
        <w:gridCol w:w="1594"/>
      </w:tblGrid>
      <w:tr w:rsidR="00DF7081" w:rsidRPr="001C213C" w:rsidTr="00BA4F6F">
        <w:trPr>
          <w:trHeight w:val="585"/>
          <w:jc w:val="center"/>
        </w:trPr>
        <w:tc>
          <w:tcPr>
            <w:tcW w:w="1952" w:type="dxa"/>
            <w:vAlign w:val="center"/>
          </w:tcPr>
          <w:p w:rsidR="00DF7081" w:rsidRPr="001C213C" w:rsidRDefault="00DF7081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Статті витрат</w:t>
            </w:r>
          </w:p>
        </w:tc>
        <w:tc>
          <w:tcPr>
            <w:tcW w:w="1251" w:type="dxa"/>
            <w:vAlign w:val="center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2468" w:type="dxa"/>
            <w:gridSpan w:val="2"/>
            <w:vAlign w:val="center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попередніх розрахунках</w:t>
            </w:r>
          </w:p>
        </w:tc>
        <w:tc>
          <w:tcPr>
            <w:tcW w:w="2375" w:type="dxa"/>
            <w:gridSpan w:val="2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розрахунку планових витрат</w:t>
            </w:r>
          </w:p>
        </w:tc>
        <w:tc>
          <w:tcPr>
            <w:tcW w:w="1594" w:type="dxa"/>
            <w:vAlign w:val="center"/>
          </w:tcPr>
          <w:p w:rsidR="00DF7081" w:rsidRPr="001C213C" w:rsidRDefault="00DF7081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Відхилення,+(-)</w:t>
            </w:r>
          </w:p>
        </w:tc>
      </w:tr>
      <w:tr w:rsidR="00A675FF" w:rsidRPr="001C213C" w:rsidTr="00BA4F6F">
        <w:trPr>
          <w:trHeight w:val="990"/>
          <w:jc w:val="center"/>
        </w:trPr>
        <w:tc>
          <w:tcPr>
            <w:tcW w:w="1952" w:type="dxa"/>
            <w:vAlign w:val="center"/>
          </w:tcPr>
          <w:p w:rsidR="00A675FF" w:rsidRPr="001C213C" w:rsidRDefault="00A675FF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корисний відпуск теплової енергії</w:t>
            </w:r>
          </w:p>
        </w:tc>
        <w:tc>
          <w:tcPr>
            <w:tcW w:w="1251" w:type="dxa"/>
            <w:vAlign w:val="center"/>
          </w:tcPr>
          <w:p w:rsidR="00A675FF" w:rsidRPr="001C213C" w:rsidRDefault="00A675F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тис.Гкал</w:t>
            </w:r>
            <w:proofErr w:type="spellEnd"/>
          </w:p>
        </w:tc>
        <w:tc>
          <w:tcPr>
            <w:tcW w:w="2468" w:type="dxa"/>
            <w:gridSpan w:val="2"/>
            <w:vAlign w:val="center"/>
          </w:tcPr>
          <w:p w:rsidR="00A675FF" w:rsidRPr="001C213C" w:rsidRDefault="00A675FF" w:rsidP="00A6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7,649</w:t>
            </w:r>
          </w:p>
        </w:tc>
        <w:tc>
          <w:tcPr>
            <w:tcW w:w="2375" w:type="dxa"/>
            <w:gridSpan w:val="2"/>
            <w:vAlign w:val="center"/>
          </w:tcPr>
          <w:p w:rsidR="00A675FF" w:rsidRPr="001C213C" w:rsidRDefault="00A675F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7,649</w:t>
            </w:r>
          </w:p>
        </w:tc>
        <w:tc>
          <w:tcPr>
            <w:tcW w:w="1594" w:type="dxa"/>
            <w:vAlign w:val="center"/>
          </w:tcPr>
          <w:p w:rsidR="00A675FF" w:rsidRPr="001C213C" w:rsidRDefault="00A675F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A675FF" w:rsidRPr="001C213C" w:rsidTr="00BA4F6F">
        <w:trPr>
          <w:trHeight w:val="283"/>
          <w:jc w:val="center"/>
        </w:trPr>
        <w:tc>
          <w:tcPr>
            <w:tcW w:w="1952" w:type="dxa"/>
            <w:vAlign w:val="center"/>
          </w:tcPr>
          <w:p w:rsidR="00A675FF" w:rsidRPr="001C213C" w:rsidRDefault="00A675FF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разом</w:t>
            </w:r>
          </w:p>
        </w:tc>
        <w:tc>
          <w:tcPr>
            <w:tcW w:w="1251" w:type="dxa"/>
            <w:vAlign w:val="center"/>
          </w:tcPr>
          <w:p w:rsidR="00A675FF" w:rsidRPr="001C213C" w:rsidRDefault="00A675F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2468" w:type="dxa"/>
            <w:gridSpan w:val="2"/>
            <w:vAlign w:val="center"/>
          </w:tcPr>
          <w:p w:rsidR="00A675FF" w:rsidRPr="001C213C" w:rsidRDefault="00A675FF" w:rsidP="00A6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11851,200</w:t>
            </w:r>
          </w:p>
        </w:tc>
        <w:tc>
          <w:tcPr>
            <w:tcW w:w="2375" w:type="dxa"/>
            <w:gridSpan w:val="2"/>
            <w:vAlign w:val="center"/>
          </w:tcPr>
          <w:p w:rsidR="00A675FF" w:rsidRPr="001C213C" w:rsidRDefault="00A675F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11310,786</w:t>
            </w:r>
          </w:p>
        </w:tc>
        <w:tc>
          <w:tcPr>
            <w:tcW w:w="1594" w:type="dxa"/>
            <w:vAlign w:val="center"/>
          </w:tcPr>
          <w:p w:rsidR="00A675FF" w:rsidRPr="001C213C" w:rsidRDefault="00A675FF" w:rsidP="00A6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-540,414</w:t>
            </w:r>
          </w:p>
        </w:tc>
      </w:tr>
      <w:tr w:rsidR="00A675FF" w:rsidRPr="001C213C" w:rsidTr="00BA4F6F">
        <w:trPr>
          <w:trHeight w:val="647"/>
          <w:jc w:val="center"/>
        </w:trPr>
        <w:tc>
          <w:tcPr>
            <w:tcW w:w="1952" w:type="dxa"/>
            <w:vAlign w:val="center"/>
          </w:tcPr>
          <w:p w:rsidR="00A675FF" w:rsidRPr="001C213C" w:rsidRDefault="00A675FF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Собівартість 1Гкал</w:t>
            </w:r>
          </w:p>
        </w:tc>
        <w:tc>
          <w:tcPr>
            <w:tcW w:w="1251" w:type="dxa"/>
            <w:vAlign w:val="center"/>
          </w:tcPr>
          <w:p w:rsidR="00A675FF" w:rsidRPr="001C213C" w:rsidRDefault="00A675F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грн./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2468" w:type="dxa"/>
            <w:gridSpan w:val="2"/>
            <w:vAlign w:val="center"/>
          </w:tcPr>
          <w:p w:rsidR="00A675FF" w:rsidRPr="001C213C" w:rsidRDefault="00A675FF" w:rsidP="00A6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1549,40</w:t>
            </w:r>
          </w:p>
        </w:tc>
        <w:tc>
          <w:tcPr>
            <w:tcW w:w="2375" w:type="dxa"/>
            <w:gridSpan w:val="2"/>
            <w:vAlign w:val="center"/>
          </w:tcPr>
          <w:p w:rsidR="00A675FF" w:rsidRPr="001C213C" w:rsidRDefault="00C31D00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1478,75</w:t>
            </w:r>
          </w:p>
        </w:tc>
        <w:tc>
          <w:tcPr>
            <w:tcW w:w="1594" w:type="dxa"/>
            <w:vAlign w:val="center"/>
          </w:tcPr>
          <w:p w:rsidR="00A675FF" w:rsidRPr="001C213C" w:rsidRDefault="00C31D00" w:rsidP="00E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-29,35</w:t>
            </w:r>
          </w:p>
        </w:tc>
      </w:tr>
      <w:tr w:rsidR="00A675FF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A675FF" w:rsidRPr="001C213C" w:rsidRDefault="00A675FF" w:rsidP="00BA4F6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245" w:type="dxa"/>
            <w:vAlign w:val="center"/>
          </w:tcPr>
          <w:p w:rsidR="00A675FF" w:rsidRPr="001C213C" w:rsidRDefault="00A675F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223" w:type="dxa"/>
            <w:vAlign w:val="center"/>
          </w:tcPr>
          <w:p w:rsidR="00A675FF" w:rsidRPr="001C213C" w:rsidRDefault="00A675F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Грн.1  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1275" w:type="dxa"/>
            <w:vAlign w:val="center"/>
          </w:tcPr>
          <w:p w:rsidR="00A675FF" w:rsidRPr="001C213C" w:rsidRDefault="00A675F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00" w:type="dxa"/>
            <w:vAlign w:val="center"/>
          </w:tcPr>
          <w:p w:rsidR="00A675FF" w:rsidRPr="001C213C" w:rsidRDefault="00A675F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Грн.1  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1594" w:type="dxa"/>
            <w:vAlign w:val="center"/>
          </w:tcPr>
          <w:p w:rsidR="00A675FF" w:rsidRPr="001C213C" w:rsidRDefault="00A675FF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Грн.1 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</w:tr>
      <w:tr w:rsidR="00C31D00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C31D00" w:rsidRPr="001C213C" w:rsidRDefault="00C31D00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Прямі витрати</w:t>
            </w:r>
          </w:p>
        </w:tc>
        <w:tc>
          <w:tcPr>
            <w:tcW w:w="1245" w:type="dxa"/>
            <w:vAlign w:val="center"/>
          </w:tcPr>
          <w:p w:rsidR="00C31D00" w:rsidRPr="00EC255D" w:rsidRDefault="00C31D00" w:rsidP="00C31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9576,831</w:t>
            </w:r>
          </w:p>
        </w:tc>
        <w:tc>
          <w:tcPr>
            <w:tcW w:w="1223" w:type="dxa"/>
          </w:tcPr>
          <w:p w:rsidR="00C31D00" w:rsidRPr="00EC255D" w:rsidRDefault="00C31D00" w:rsidP="00C3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1252,09</w:t>
            </w:r>
          </w:p>
        </w:tc>
        <w:tc>
          <w:tcPr>
            <w:tcW w:w="1275" w:type="dxa"/>
            <w:vAlign w:val="center"/>
          </w:tcPr>
          <w:p w:rsidR="00C31D00" w:rsidRPr="00EC255D" w:rsidRDefault="00C31D00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9206,690</w:t>
            </w:r>
          </w:p>
        </w:tc>
        <w:tc>
          <w:tcPr>
            <w:tcW w:w="1100" w:type="dxa"/>
          </w:tcPr>
          <w:p w:rsidR="00C31D00" w:rsidRPr="00EC255D" w:rsidRDefault="00C31D00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1203,69</w:t>
            </w:r>
          </w:p>
        </w:tc>
        <w:tc>
          <w:tcPr>
            <w:tcW w:w="1594" w:type="dxa"/>
            <w:vAlign w:val="center"/>
          </w:tcPr>
          <w:p w:rsidR="00C31D00" w:rsidRPr="00EC255D" w:rsidRDefault="00C31D00" w:rsidP="00CD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softHyphen/>
              <w:t>-48,40</w:t>
            </w:r>
          </w:p>
        </w:tc>
      </w:tr>
      <w:tr w:rsidR="00C31D00" w:rsidRPr="001C213C" w:rsidTr="00BA4F6F">
        <w:trPr>
          <w:trHeight w:val="303"/>
          <w:jc w:val="center"/>
        </w:trPr>
        <w:tc>
          <w:tcPr>
            <w:tcW w:w="3203" w:type="dxa"/>
            <w:gridSpan w:val="2"/>
            <w:vAlign w:val="center"/>
          </w:tcPr>
          <w:p w:rsidR="00C31D00" w:rsidRPr="001C213C" w:rsidRDefault="00C31D00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матеріальні витрати</w:t>
            </w:r>
          </w:p>
        </w:tc>
        <w:tc>
          <w:tcPr>
            <w:tcW w:w="1245" w:type="dxa"/>
            <w:vAlign w:val="center"/>
          </w:tcPr>
          <w:p w:rsidR="00C31D00" w:rsidRPr="00EC255D" w:rsidRDefault="00C31D00" w:rsidP="00C3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8852,872</w:t>
            </w:r>
          </w:p>
        </w:tc>
        <w:tc>
          <w:tcPr>
            <w:tcW w:w="1223" w:type="dxa"/>
          </w:tcPr>
          <w:p w:rsidR="00C31D00" w:rsidRPr="00EC255D" w:rsidRDefault="00C31D00" w:rsidP="00C3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1157,40</w:t>
            </w:r>
          </w:p>
        </w:tc>
        <w:tc>
          <w:tcPr>
            <w:tcW w:w="1275" w:type="dxa"/>
            <w:vAlign w:val="center"/>
          </w:tcPr>
          <w:p w:rsidR="00C31D00" w:rsidRPr="00EC255D" w:rsidRDefault="00C31D00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8567,995</w:t>
            </w:r>
          </w:p>
        </w:tc>
        <w:tc>
          <w:tcPr>
            <w:tcW w:w="1100" w:type="dxa"/>
          </w:tcPr>
          <w:p w:rsidR="00C31D00" w:rsidRPr="00EC255D" w:rsidRDefault="00C31D00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1120,16</w:t>
            </w:r>
          </w:p>
        </w:tc>
        <w:tc>
          <w:tcPr>
            <w:tcW w:w="1594" w:type="dxa"/>
            <w:vAlign w:val="center"/>
          </w:tcPr>
          <w:p w:rsidR="00C31D00" w:rsidRPr="00EC255D" w:rsidRDefault="00C31D00" w:rsidP="0003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-37,24</w:t>
            </w:r>
          </w:p>
        </w:tc>
      </w:tr>
      <w:tr w:rsidR="00C31D00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C31D00" w:rsidRPr="001C213C" w:rsidRDefault="00C31D00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оплата праці</w:t>
            </w:r>
          </w:p>
        </w:tc>
        <w:tc>
          <w:tcPr>
            <w:tcW w:w="1245" w:type="dxa"/>
            <w:vAlign w:val="center"/>
          </w:tcPr>
          <w:p w:rsidR="00C31D00" w:rsidRPr="001C213C" w:rsidRDefault="00C31D00" w:rsidP="00C3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513,469</w:t>
            </w:r>
          </w:p>
        </w:tc>
        <w:tc>
          <w:tcPr>
            <w:tcW w:w="1223" w:type="dxa"/>
            <w:vAlign w:val="center"/>
          </w:tcPr>
          <w:p w:rsidR="00C31D00" w:rsidRPr="001C213C" w:rsidRDefault="00C31D00" w:rsidP="00C3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67,13</w:t>
            </w:r>
          </w:p>
        </w:tc>
        <w:tc>
          <w:tcPr>
            <w:tcW w:w="1275" w:type="dxa"/>
            <w:vAlign w:val="center"/>
          </w:tcPr>
          <w:p w:rsidR="00C31D00" w:rsidRPr="001C213C" w:rsidRDefault="00C31D00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506,965</w:t>
            </w:r>
          </w:p>
        </w:tc>
        <w:tc>
          <w:tcPr>
            <w:tcW w:w="1100" w:type="dxa"/>
            <w:vAlign w:val="center"/>
          </w:tcPr>
          <w:p w:rsidR="00C31D00" w:rsidRPr="001C213C" w:rsidRDefault="00C31D00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66,28</w:t>
            </w:r>
          </w:p>
        </w:tc>
        <w:tc>
          <w:tcPr>
            <w:tcW w:w="1594" w:type="dxa"/>
            <w:vAlign w:val="center"/>
          </w:tcPr>
          <w:p w:rsidR="00C31D00" w:rsidRPr="001C213C" w:rsidRDefault="00C31D00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-0,85</w:t>
            </w:r>
          </w:p>
        </w:tc>
      </w:tr>
      <w:tr w:rsidR="00C31D00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C31D00" w:rsidRPr="001C213C" w:rsidRDefault="00C31D00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інші прямі витрати</w:t>
            </w:r>
          </w:p>
        </w:tc>
        <w:tc>
          <w:tcPr>
            <w:tcW w:w="1245" w:type="dxa"/>
            <w:vAlign w:val="center"/>
          </w:tcPr>
          <w:p w:rsidR="00C31D00" w:rsidRPr="001C213C" w:rsidRDefault="00C31D00" w:rsidP="00C3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210,491</w:t>
            </w:r>
          </w:p>
        </w:tc>
        <w:tc>
          <w:tcPr>
            <w:tcW w:w="1223" w:type="dxa"/>
            <w:vAlign w:val="center"/>
          </w:tcPr>
          <w:p w:rsidR="00C31D00" w:rsidRPr="001C213C" w:rsidRDefault="00C31D00" w:rsidP="00C3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27,52</w:t>
            </w:r>
          </w:p>
        </w:tc>
        <w:tc>
          <w:tcPr>
            <w:tcW w:w="1275" w:type="dxa"/>
            <w:vAlign w:val="center"/>
          </w:tcPr>
          <w:p w:rsidR="00C31D00" w:rsidRPr="001C213C" w:rsidRDefault="00C31D00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131,731</w:t>
            </w:r>
          </w:p>
        </w:tc>
        <w:tc>
          <w:tcPr>
            <w:tcW w:w="1100" w:type="dxa"/>
            <w:vAlign w:val="center"/>
          </w:tcPr>
          <w:p w:rsidR="00C31D00" w:rsidRPr="001C213C" w:rsidRDefault="00C31D00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17,22</w:t>
            </w:r>
          </w:p>
        </w:tc>
        <w:tc>
          <w:tcPr>
            <w:tcW w:w="1594" w:type="dxa"/>
            <w:vAlign w:val="center"/>
          </w:tcPr>
          <w:p w:rsidR="00C31D00" w:rsidRPr="001C213C" w:rsidRDefault="00C31D00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-10,30</w:t>
            </w:r>
          </w:p>
        </w:tc>
      </w:tr>
      <w:tr w:rsidR="00C31D00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C31D00" w:rsidRPr="001C213C" w:rsidRDefault="00C31D00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Загальновиробничі витрати</w:t>
            </w:r>
          </w:p>
        </w:tc>
        <w:tc>
          <w:tcPr>
            <w:tcW w:w="1245" w:type="dxa"/>
            <w:vAlign w:val="center"/>
          </w:tcPr>
          <w:p w:rsidR="00C31D00" w:rsidRPr="001C213C" w:rsidRDefault="00C31D00" w:rsidP="00C3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1692,006</w:t>
            </w:r>
          </w:p>
        </w:tc>
        <w:tc>
          <w:tcPr>
            <w:tcW w:w="1223" w:type="dxa"/>
            <w:vAlign w:val="center"/>
          </w:tcPr>
          <w:p w:rsidR="00C31D00" w:rsidRPr="001C213C" w:rsidRDefault="00C31D00" w:rsidP="00C3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221,21</w:t>
            </w:r>
          </w:p>
        </w:tc>
        <w:tc>
          <w:tcPr>
            <w:tcW w:w="1275" w:type="dxa"/>
            <w:vAlign w:val="center"/>
          </w:tcPr>
          <w:p w:rsidR="00C31D00" w:rsidRPr="001C213C" w:rsidRDefault="00C31D00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1584,050</w:t>
            </w:r>
          </w:p>
        </w:tc>
        <w:tc>
          <w:tcPr>
            <w:tcW w:w="1100" w:type="dxa"/>
            <w:vAlign w:val="center"/>
          </w:tcPr>
          <w:p w:rsidR="00C31D00" w:rsidRPr="001C213C" w:rsidRDefault="00C31D00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207,09</w:t>
            </w:r>
          </w:p>
        </w:tc>
        <w:tc>
          <w:tcPr>
            <w:tcW w:w="1594" w:type="dxa"/>
            <w:vAlign w:val="center"/>
          </w:tcPr>
          <w:p w:rsidR="00C31D00" w:rsidRPr="001C213C" w:rsidRDefault="00C31D00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-14,12</w:t>
            </w:r>
          </w:p>
        </w:tc>
      </w:tr>
      <w:tr w:rsidR="00C31D00" w:rsidRPr="001C213C" w:rsidTr="00BA4F6F">
        <w:trPr>
          <w:trHeight w:val="303"/>
          <w:jc w:val="center"/>
        </w:trPr>
        <w:tc>
          <w:tcPr>
            <w:tcW w:w="3203" w:type="dxa"/>
            <w:gridSpan w:val="2"/>
            <w:vAlign w:val="center"/>
          </w:tcPr>
          <w:p w:rsidR="00C31D00" w:rsidRPr="001C213C" w:rsidRDefault="00C31D00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Адміністративні витрати</w:t>
            </w:r>
          </w:p>
        </w:tc>
        <w:tc>
          <w:tcPr>
            <w:tcW w:w="1245" w:type="dxa"/>
            <w:vAlign w:val="center"/>
          </w:tcPr>
          <w:p w:rsidR="00C31D00" w:rsidRPr="001C213C" w:rsidRDefault="00C31D00" w:rsidP="00C3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349,840</w:t>
            </w:r>
          </w:p>
        </w:tc>
        <w:tc>
          <w:tcPr>
            <w:tcW w:w="1223" w:type="dxa"/>
            <w:vAlign w:val="center"/>
          </w:tcPr>
          <w:p w:rsidR="00C31D00" w:rsidRPr="001C213C" w:rsidRDefault="00C31D00" w:rsidP="00C3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45,74</w:t>
            </w:r>
          </w:p>
        </w:tc>
        <w:tc>
          <w:tcPr>
            <w:tcW w:w="1275" w:type="dxa"/>
            <w:vAlign w:val="center"/>
          </w:tcPr>
          <w:p w:rsidR="00C31D00" w:rsidRPr="001C213C" w:rsidRDefault="00C31D00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305,09</w:t>
            </w:r>
          </w:p>
        </w:tc>
        <w:tc>
          <w:tcPr>
            <w:tcW w:w="1100" w:type="dxa"/>
            <w:vAlign w:val="center"/>
          </w:tcPr>
          <w:p w:rsidR="00C31D00" w:rsidRPr="001C213C" w:rsidRDefault="00C31D00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39,88</w:t>
            </w:r>
          </w:p>
        </w:tc>
        <w:tc>
          <w:tcPr>
            <w:tcW w:w="1594" w:type="dxa"/>
            <w:vAlign w:val="center"/>
          </w:tcPr>
          <w:p w:rsidR="00C31D00" w:rsidRPr="001C213C" w:rsidRDefault="00C31D00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-5,86</w:t>
            </w:r>
          </w:p>
        </w:tc>
      </w:tr>
      <w:tr w:rsidR="00C31D00" w:rsidRPr="001C213C" w:rsidTr="00BA4F6F">
        <w:trPr>
          <w:trHeight w:val="283"/>
          <w:jc w:val="center"/>
        </w:trPr>
        <w:tc>
          <w:tcPr>
            <w:tcW w:w="3203" w:type="dxa"/>
            <w:gridSpan w:val="2"/>
            <w:vAlign w:val="center"/>
          </w:tcPr>
          <w:p w:rsidR="00C31D00" w:rsidRPr="001C213C" w:rsidRDefault="00C31D00" w:rsidP="00BA4F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Витрати із збуту  послуг</w:t>
            </w:r>
          </w:p>
        </w:tc>
        <w:tc>
          <w:tcPr>
            <w:tcW w:w="1245" w:type="dxa"/>
            <w:vAlign w:val="center"/>
          </w:tcPr>
          <w:p w:rsidR="00C31D00" w:rsidRPr="001C213C" w:rsidRDefault="00C31D00" w:rsidP="00C3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232,522</w:t>
            </w:r>
          </w:p>
        </w:tc>
        <w:tc>
          <w:tcPr>
            <w:tcW w:w="1223" w:type="dxa"/>
            <w:vAlign w:val="center"/>
          </w:tcPr>
          <w:p w:rsidR="00C31D00" w:rsidRPr="001C213C" w:rsidRDefault="00C31D00" w:rsidP="00C31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30,40</w:t>
            </w:r>
          </w:p>
        </w:tc>
        <w:tc>
          <w:tcPr>
            <w:tcW w:w="1275" w:type="dxa"/>
            <w:vAlign w:val="center"/>
          </w:tcPr>
          <w:p w:rsidR="00C31D00" w:rsidRPr="001C213C" w:rsidRDefault="00C31D00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215,036</w:t>
            </w:r>
          </w:p>
        </w:tc>
        <w:tc>
          <w:tcPr>
            <w:tcW w:w="1100" w:type="dxa"/>
            <w:vAlign w:val="center"/>
          </w:tcPr>
          <w:p w:rsidR="00C31D00" w:rsidRPr="001C213C" w:rsidRDefault="00C31D00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28,11</w:t>
            </w:r>
          </w:p>
        </w:tc>
        <w:tc>
          <w:tcPr>
            <w:tcW w:w="1594" w:type="dxa"/>
            <w:vAlign w:val="center"/>
          </w:tcPr>
          <w:p w:rsidR="00C31D00" w:rsidRPr="001C213C" w:rsidRDefault="00C31D00" w:rsidP="00BA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-1,89</w:t>
            </w:r>
          </w:p>
        </w:tc>
      </w:tr>
    </w:tbl>
    <w:p w:rsidR="00DF7081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6447" w:rsidRDefault="007C6447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6447" w:rsidRPr="001C213C" w:rsidRDefault="007C6447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роз</w:t>
      </w:r>
      <w:r w:rsidR="00C423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рахунку  планових витрат на 2015-2016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рр. </w:t>
      </w:r>
      <w:r w:rsidR="00C423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загальний корисний 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дпуск теплової енергії  складає 7,649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залишився без зміни:  населення</w:t>
      </w:r>
      <w:r w:rsidR="00C423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(гуртожиток школи інтернат)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0,606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7,92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до загального обсягу,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бюд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жетні установи  – 7,043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92,08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до загального обсягу.</w:t>
      </w:r>
    </w:p>
    <w:p w:rsidR="007C6447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 розрахунковому тарифі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витрати</w:t>
      </w:r>
      <w:r w:rsidR="00833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складають </w:t>
      </w:r>
      <w:r w:rsidR="00C31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11310,786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тис.грн., що на </w:t>
      </w:r>
      <w:r w:rsidR="00C31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540,414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тис.грн. або </w:t>
      </w:r>
      <w:r w:rsidR="007C6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4,78</w:t>
      </w:r>
      <w:r w:rsidRPr="003738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</w:t>
      </w:r>
      <w:r w:rsidR="00B40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1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менше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порівнянні з витратам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врахованими в діючих тарифах, за рахуно</w:t>
      </w:r>
      <w:r w:rsidR="007C6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зменшення  ціни на   газ</w:t>
      </w:r>
      <w:r w:rsidR="00B21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відсотків  відрахувань  на заробітну плату.</w:t>
      </w:r>
      <w:r w:rsidR="0072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F7081" w:rsidRPr="001C213C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DF7081" w:rsidRDefault="00DF7081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Планова собівартість надання послуг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теплопостач</w:t>
      </w:r>
      <w:r w:rsidR="002972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ання </w:t>
      </w:r>
      <w:r w:rsidR="007C6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складає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7C64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1478,75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6447" w:rsidRPr="001C213C" w:rsidRDefault="007C6447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081" w:rsidRDefault="007C6447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</w:t>
      </w:r>
      <w:r w:rsidR="00B21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зменшенні</w:t>
      </w:r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загальних пла</w:t>
      </w:r>
      <w:r w:rsidR="007263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ових витрат відбулось </w:t>
      </w:r>
      <w:r w:rsidR="00B210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зменшення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планової собівартості на  29,35</w:t>
      </w:r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проти соб</w:t>
      </w:r>
      <w:r w:rsidR="00B866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івартості в затверджених раніше</w:t>
      </w:r>
      <w:r w:rsidR="00A7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тарифах –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1549,40</w:t>
      </w:r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DF7081"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6447" w:rsidRDefault="007C6447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6447" w:rsidRPr="001C213C" w:rsidRDefault="007C6447" w:rsidP="00DF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Розрахунок  тарифів проводився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підставі   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№ 242 від 17.02.2011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Pr="001C21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формування тарифів на теплову енергію, її виробництво, транспортування та постачання» та Постанови № 869 від 01.06.2011р. «Про забезпечення єдиного підходу до формування тарифів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житлово-комунальні послуги».</w:t>
      </w: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</w:t>
      </w:r>
      <w:proofErr w:type="spellStart"/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</w:t>
      </w:r>
      <w:proofErr w:type="spellEnd"/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«Сватове-тепло»                                 </w:t>
      </w:r>
      <w:r w:rsidR="001570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1C21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В.І. Данильченко</w:t>
      </w:r>
    </w:p>
    <w:p w:rsidR="00DF7081" w:rsidRPr="001C213C" w:rsidRDefault="00DF7081" w:rsidP="00DF70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7081" w:rsidRPr="001C213C" w:rsidRDefault="0015706E" w:rsidP="00DF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Головний бухгалтер</w:t>
      </w:r>
      <w:r w:rsidR="00DF7081" w:rsidRPr="001C21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О.Л. Яковенко</w:t>
      </w: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F7081" w:rsidRPr="001C213C" w:rsidRDefault="00DF7081" w:rsidP="00DF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C213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Економіст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</w:t>
      </w:r>
      <w:r w:rsidR="001570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В.М.Чернявська </w:t>
      </w:r>
    </w:p>
    <w:p w:rsidR="00F80AFF" w:rsidRDefault="00F80AFF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0E1449">
      <w:pPr>
        <w:rPr>
          <w:lang w:val="uk-UA"/>
        </w:rPr>
      </w:pPr>
    </w:p>
    <w:p w:rsidR="000E1449" w:rsidRDefault="005603D6">
      <w:pPr>
        <w:rPr>
          <w:lang w:val="uk-UA"/>
        </w:rPr>
      </w:pPr>
      <w:r>
        <w:rPr>
          <w:lang w:val="uk-UA"/>
        </w:rPr>
        <w:t xml:space="preserve"> </w:t>
      </w:r>
    </w:p>
    <w:sectPr w:rsidR="000E1449" w:rsidSect="00BA4F6F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C220D"/>
    <w:multiLevelType w:val="hybridMultilevel"/>
    <w:tmpl w:val="7BC0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33"/>
    <w:rsid w:val="0000246C"/>
    <w:rsid w:val="00032BF7"/>
    <w:rsid w:val="000E1449"/>
    <w:rsid w:val="00122E82"/>
    <w:rsid w:val="001267B3"/>
    <w:rsid w:val="001314EA"/>
    <w:rsid w:val="00135439"/>
    <w:rsid w:val="0015706E"/>
    <w:rsid w:val="00174F08"/>
    <w:rsid w:val="00193330"/>
    <w:rsid w:val="001F4409"/>
    <w:rsid w:val="002135E2"/>
    <w:rsid w:val="002955F6"/>
    <w:rsid w:val="0029725A"/>
    <w:rsid w:val="002B58AF"/>
    <w:rsid w:val="002C4242"/>
    <w:rsid w:val="002F33BD"/>
    <w:rsid w:val="00304C3B"/>
    <w:rsid w:val="00307C2C"/>
    <w:rsid w:val="0036337C"/>
    <w:rsid w:val="003A1069"/>
    <w:rsid w:val="003B2B5B"/>
    <w:rsid w:val="003D0D18"/>
    <w:rsid w:val="003E2A4E"/>
    <w:rsid w:val="00402684"/>
    <w:rsid w:val="00407BAC"/>
    <w:rsid w:val="00425489"/>
    <w:rsid w:val="0044630E"/>
    <w:rsid w:val="0046111F"/>
    <w:rsid w:val="00503EB8"/>
    <w:rsid w:val="00540ED0"/>
    <w:rsid w:val="00544D7B"/>
    <w:rsid w:val="005559ED"/>
    <w:rsid w:val="005603D6"/>
    <w:rsid w:val="00582091"/>
    <w:rsid w:val="005B723D"/>
    <w:rsid w:val="005C45EF"/>
    <w:rsid w:val="005D3A3F"/>
    <w:rsid w:val="005E15BE"/>
    <w:rsid w:val="005E1F85"/>
    <w:rsid w:val="00663DA4"/>
    <w:rsid w:val="006768A0"/>
    <w:rsid w:val="006802F3"/>
    <w:rsid w:val="00690FF4"/>
    <w:rsid w:val="006B0366"/>
    <w:rsid w:val="006B1DB2"/>
    <w:rsid w:val="006B234A"/>
    <w:rsid w:val="006B2998"/>
    <w:rsid w:val="006C4B5A"/>
    <w:rsid w:val="0072632E"/>
    <w:rsid w:val="007329D2"/>
    <w:rsid w:val="00733DF3"/>
    <w:rsid w:val="00741F86"/>
    <w:rsid w:val="007657F0"/>
    <w:rsid w:val="007A4F55"/>
    <w:rsid w:val="007A6E98"/>
    <w:rsid w:val="007C09A2"/>
    <w:rsid w:val="007C6447"/>
    <w:rsid w:val="008204AB"/>
    <w:rsid w:val="00825570"/>
    <w:rsid w:val="00833529"/>
    <w:rsid w:val="008B4884"/>
    <w:rsid w:val="008F191A"/>
    <w:rsid w:val="008F7EC2"/>
    <w:rsid w:val="00916243"/>
    <w:rsid w:val="00921F75"/>
    <w:rsid w:val="009A156D"/>
    <w:rsid w:val="00A30D31"/>
    <w:rsid w:val="00A51FAB"/>
    <w:rsid w:val="00A5225A"/>
    <w:rsid w:val="00A62081"/>
    <w:rsid w:val="00A675FF"/>
    <w:rsid w:val="00A70759"/>
    <w:rsid w:val="00A923DA"/>
    <w:rsid w:val="00AC5213"/>
    <w:rsid w:val="00B21005"/>
    <w:rsid w:val="00B40DB1"/>
    <w:rsid w:val="00B51873"/>
    <w:rsid w:val="00B8661A"/>
    <w:rsid w:val="00BA4F6F"/>
    <w:rsid w:val="00C07497"/>
    <w:rsid w:val="00C1728A"/>
    <w:rsid w:val="00C31D00"/>
    <w:rsid w:val="00C41107"/>
    <w:rsid w:val="00C42371"/>
    <w:rsid w:val="00CD3E9D"/>
    <w:rsid w:val="00CE01EB"/>
    <w:rsid w:val="00CF2DCD"/>
    <w:rsid w:val="00D91BFF"/>
    <w:rsid w:val="00DB4C18"/>
    <w:rsid w:val="00DC39E8"/>
    <w:rsid w:val="00DC4093"/>
    <w:rsid w:val="00DF7081"/>
    <w:rsid w:val="00E0312C"/>
    <w:rsid w:val="00E219FC"/>
    <w:rsid w:val="00E63005"/>
    <w:rsid w:val="00EC6833"/>
    <w:rsid w:val="00EE008A"/>
    <w:rsid w:val="00F019EE"/>
    <w:rsid w:val="00F02AF6"/>
    <w:rsid w:val="00F1342B"/>
    <w:rsid w:val="00F52077"/>
    <w:rsid w:val="00F80AFF"/>
    <w:rsid w:val="00FA52C3"/>
    <w:rsid w:val="00FD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14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14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7885-DC2B-41E0-BAB9-E18D499B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</cp:revision>
  <cp:lastPrinted>2016-05-16T07:45:00Z</cp:lastPrinted>
  <dcterms:created xsi:type="dcterms:W3CDTF">2016-05-19T20:17:00Z</dcterms:created>
  <dcterms:modified xsi:type="dcterms:W3CDTF">2016-05-19T20:17:00Z</dcterms:modified>
</cp:coreProperties>
</file>