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78" w:rsidRPr="00E44FE8" w:rsidRDefault="00954278" w:rsidP="0095427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44FE8">
        <w:rPr>
          <w:rFonts w:ascii="Times New Roman" w:hAnsi="Times New Roman" w:cs="Times New Roman"/>
          <w:sz w:val="28"/>
          <w:szCs w:val="28"/>
          <w:lang w:val="uk-UA"/>
        </w:rPr>
        <w:t>Згідно Наказу Міністерства регіонального розвитку, будівництва та житлово-комунал</w:t>
      </w:r>
      <w:r w:rsidR="00D03A95">
        <w:rPr>
          <w:rFonts w:ascii="Times New Roman" w:hAnsi="Times New Roman" w:cs="Times New Roman"/>
          <w:sz w:val="28"/>
          <w:szCs w:val="28"/>
          <w:lang w:val="uk-UA"/>
        </w:rPr>
        <w:t>ьного господарства України № 130 від 05.06.2018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р. КП «Сватове-тепло» доводить до відома споживачів інформацію про заг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розмір планового тарифу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>, їх структуру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>причини зміни тарифів на теплову енергію та обґрунтування причин зміни. Загальний розмір планового тарифу наведено в таблиці 1 «Розрахунок тарифів по КП «Сватове-т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епло» на опалювальний сезон 2019-2020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954278" w:rsidRPr="00E44FE8" w:rsidRDefault="00954278" w:rsidP="0095427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54278" w:rsidRDefault="00954278" w:rsidP="00954278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954278" w:rsidRPr="00F02AF6" w:rsidRDefault="00954278" w:rsidP="0095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31439">
        <w:rPr>
          <w:rFonts w:ascii="Times New Roman" w:hAnsi="Times New Roman" w:cs="Times New Roman"/>
          <w:b/>
          <w:sz w:val="28"/>
          <w:szCs w:val="28"/>
          <w:lang w:val="uk-UA"/>
        </w:rPr>
        <w:t>пло»  на опалювальний сезон 2019-2020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954278" w:rsidRPr="007657F0" w:rsidTr="001F04A4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 теплової енергії, т.Гкал.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Собівартість.    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 Рентабельн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ість,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Тариф за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954278" w:rsidRPr="007657F0" w:rsidTr="001F04A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т.грн.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т.грн.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питома вага од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4278" w:rsidRPr="007657F0" w:rsidTr="001F04A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грн./м²</w:t>
            </w:r>
          </w:p>
        </w:tc>
      </w:tr>
      <w:tr w:rsidR="00954278" w:rsidRPr="007657F0" w:rsidTr="001F04A4">
        <w:trPr>
          <w:trHeight w:val="440"/>
        </w:trPr>
        <w:tc>
          <w:tcPr>
            <w:tcW w:w="1419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954278" w:rsidRPr="00F87F9A" w:rsidRDefault="00954278" w:rsidP="001F0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8B5" w:rsidRPr="00C31439" w:rsidTr="001F04A4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9C18B5" w:rsidRPr="00F87F9A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2078,61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10846,161</w:t>
            </w:r>
          </w:p>
        </w:tc>
        <w:tc>
          <w:tcPr>
            <w:tcW w:w="141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1084,616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11930,777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14316,932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2743,76</w:t>
            </w:r>
          </w:p>
        </w:tc>
        <w:tc>
          <w:tcPr>
            <w:tcW w:w="108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C18B5" w:rsidRPr="00C31439" w:rsidTr="001F04A4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9C18B5" w:rsidRPr="00F87F9A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2078,61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10846,161</w:t>
            </w:r>
          </w:p>
        </w:tc>
        <w:tc>
          <w:tcPr>
            <w:tcW w:w="141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1084,616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11930,777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14316,932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2743,76</w:t>
            </w:r>
          </w:p>
        </w:tc>
        <w:tc>
          <w:tcPr>
            <w:tcW w:w="108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C18B5" w:rsidRPr="00C31439" w:rsidTr="001F04A4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9C18B5" w:rsidRPr="00F87F9A" w:rsidRDefault="009C18B5" w:rsidP="001F0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4,191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2078,61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8711,434</w:t>
            </w:r>
          </w:p>
        </w:tc>
        <w:tc>
          <w:tcPr>
            <w:tcW w:w="141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871,143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9582,577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11499,092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0,04464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2743,76</w:t>
            </w:r>
          </w:p>
        </w:tc>
        <w:tc>
          <w:tcPr>
            <w:tcW w:w="108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122,49</w:t>
            </w:r>
          </w:p>
        </w:tc>
      </w:tr>
      <w:tr w:rsidR="009C18B5" w:rsidRPr="00C31439" w:rsidTr="001F04A4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9C18B5" w:rsidRPr="00F87F9A" w:rsidRDefault="009C18B5" w:rsidP="001F0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1,027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2078,61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2134,727</w:t>
            </w:r>
          </w:p>
        </w:tc>
        <w:tc>
          <w:tcPr>
            <w:tcW w:w="141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213,473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2348,200</w:t>
            </w:r>
          </w:p>
        </w:tc>
        <w:tc>
          <w:tcPr>
            <w:tcW w:w="1276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2817,840</w:t>
            </w:r>
          </w:p>
        </w:tc>
        <w:tc>
          <w:tcPr>
            <w:tcW w:w="992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bCs/>
                <w:sz w:val="20"/>
                <w:szCs w:val="20"/>
              </w:rPr>
              <w:t>2743,76</w:t>
            </w:r>
          </w:p>
        </w:tc>
        <w:tc>
          <w:tcPr>
            <w:tcW w:w="1087" w:type="dxa"/>
            <w:noWrap/>
            <w:vAlign w:val="center"/>
            <w:hideMark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18B5" w:rsidRPr="007657F0" w:rsidTr="001F04A4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9C18B5" w:rsidRPr="00F87F9A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9C18B5" w:rsidRPr="006C456C" w:rsidRDefault="009C18B5" w:rsidP="001F0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4278" w:rsidRDefault="00954278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 1 видно, що р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централізованого опалення та гарячого водопостачання для бюджетних організацій склав </w:t>
      </w:r>
      <w:r w:rsidR="009C18B5">
        <w:rPr>
          <w:rFonts w:ascii="Times New Roman" w:hAnsi="Times New Roman" w:cs="Times New Roman"/>
          <w:sz w:val="28"/>
          <w:szCs w:val="28"/>
          <w:lang w:val="uk-UA"/>
        </w:rPr>
        <w:t>2743 грн. 76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з ПДВ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дл</w:t>
      </w:r>
      <w:r w:rsidR="009C18B5">
        <w:rPr>
          <w:rFonts w:ascii="Times New Roman" w:hAnsi="Times New Roman" w:cs="Times New Roman"/>
          <w:sz w:val="28"/>
          <w:szCs w:val="28"/>
          <w:lang w:val="uk-UA"/>
        </w:rPr>
        <w:t>я гуртожитку школи-інтернат 2743 грн. 76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за 1 Гкал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278" w:rsidRPr="00E44FE8" w:rsidRDefault="00954278" w:rsidP="00954278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18B5">
        <w:rPr>
          <w:rFonts w:ascii="Times New Roman" w:hAnsi="Times New Roman" w:cs="Times New Roman"/>
          <w:sz w:val="28"/>
          <w:szCs w:val="28"/>
          <w:lang w:val="uk-UA"/>
        </w:rPr>
        <w:t>0846,161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9C18B5">
        <w:rPr>
          <w:rFonts w:ascii="Times New Roman" w:hAnsi="Times New Roman" w:cs="Times New Roman"/>
          <w:sz w:val="28"/>
          <w:szCs w:val="28"/>
          <w:lang w:val="uk-UA"/>
        </w:rPr>
        <w:t>прибуток –1084,616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доходи </w:t>
      </w:r>
      <w:r w:rsidR="009C18B5">
        <w:rPr>
          <w:rFonts w:ascii="Times New Roman" w:hAnsi="Times New Roman" w:cs="Times New Roman"/>
          <w:sz w:val="28"/>
          <w:szCs w:val="28"/>
          <w:lang w:val="uk-UA"/>
        </w:rPr>
        <w:t>з ПДВ - 14316,93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tbl>
      <w:tblPr>
        <w:tblW w:w="14932" w:type="dxa"/>
        <w:tblLook w:val="04A0" w:firstRow="1" w:lastRow="0" w:firstColumn="1" w:lastColumn="0" w:noHBand="0" w:noVBand="1"/>
      </w:tblPr>
      <w:tblGrid>
        <w:gridCol w:w="14932"/>
      </w:tblGrid>
      <w:tr w:rsidR="00954278" w:rsidRPr="00E44FE8" w:rsidTr="001F04A4">
        <w:trPr>
          <w:trHeight w:val="377"/>
        </w:trPr>
        <w:tc>
          <w:tcPr>
            <w:tcW w:w="149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C0D" w:rsidRPr="00324C0D" w:rsidRDefault="00324C0D" w:rsidP="00324C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954278" w:rsidRPr="00E44FE8" w:rsidTr="001F04A4">
        <w:trPr>
          <w:trHeight w:val="377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278" w:rsidRPr="00E44FE8" w:rsidRDefault="00954278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54278" w:rsidRPr="00E44FE8" w:rsidTr="001F04A4">
        <w:trPr>
          <w:trHeight w:val="496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278" w:rsidRPr="00E44FE8" w:rsidRDefault="00954278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54278" w:rsidRPr="00A372A3" w:rsidRDefault="00954278" w:rsidP="00390135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таблиці 2 наведена структура витрат при розрахунку тарифів</w:t>
      </w:r>
      <w:r w:rsidRPr="00A37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2A3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 xml:space="preserve"> 2019-2020</w:t>
      </w:r>
      <w:r w:rsidRPr="00A372A3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954278" w:rsidRDefault="00954278" w:rsidP="009542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954278" w:rsidRPr="002A216E" w:rsidRDefault="00954278" w:rsidP="009542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1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2A216E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p w:rsidR="00954278" w:rsidRDefault="00954278" w:rsidP="00954278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статтями витрат при розрахунку тарифів</w:t>
      </w:r>
    </w:p>
    <w:p w:rsidR="00954278" w:rsidRDefault="00954278" w:rsidP="0095427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C31439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2019-2020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 w:firstRow="1" w:lastRow="0" w:firstColumn="1" w:lastColumn="0" w:noHBand="0" w:noVBand="1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954278" w:rsidRPr="00972A10" w:rsidTr="001F04A4">
        <w:trPr>
          <w:trHeight w:val="243"/>
        </w:trPr>
        <w:tc>
          <w:tcPr>
            <w:tcW w:w="680" w:type="dxa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954278" w:rsidRPr="00972A10" w:rsidRDefault="00954278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4546" w:type="dxa"/>
            <w:gridSpan w:val="3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hAnsi="Times New Roman" w:cs="Times New Roman"/>
              </w:rPr>
            </w:pPr>
            <w:r w:rsidRPr="00972A10">
              <w:rPr>
                <w:rFonts w:ascii="Times New Roman" w:eastAsia="Times New Roman" w:hAnsi="Times New Roman" w:cs="Times New Roman"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2A10">
              <w:rPr>
                <w:rFonts w:ascii="Times New Roman" w:hAnsi="Times New Roman" w:cs="Times New Roman"/>
              </w:rPr>
              <w:t xml:space="preserve">Бюджет та </w:t>
            </w:r>
            <w:r w:rsidRPr="00972A10">
              <w:rPr>
                <w:rFonts w:ascii="Times New Roman" w:hAnsi="Times New Roman" w:cs="Times New Roman"/>
                <w:lang w:val="uk-UA"/>
              </w:rPr>
              <w:t>інш.</w:t>
            </w:r>
          </w:p>
        </w:tc>
      </w:tr>
      <w:tr w:rsidR="00954278" w:rsidRPr="00972A10" w:rsidTr="001F04A4">
        <w:trPr>
          <w:trHeight w:val="230"/>
        </w:trPr>
        <w:tc>
          <w:tcPr>
            <w:tcW w:w="680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954278" w:rsidRPr="00972A10" w:rsidRDefault="00954278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486" w:type="dxa"/>
            <w:vMerge w:val="restart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278" w:rsidRPr="00972A10" w:rsidTr="001F04A4">
        <w:trPr>
          <w:trHeight w:val="156"/>
        </w:trPr>
        <w:tc>
          <w:tcPr>
            <w:tcW w:w="680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954278" w:rsidRPr="00972A10" w:rsidRDefault="00954278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Гкал</w:t>
            </w:r>
          </w:p>
        </w:tc>
        <w:tc>
          <w:tcPr>
            <w:tcW w:w="1371" w:type="dxa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062" w:type="dxa"/>
            <w:vAlign w:val="center"/>
          </w:tcPr>
          <w:p w:rsidR="00954278" w:rsidRPr="00972A10" w:rsidRDefault="00954278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9C18B5" w:rsidRPr="00972A10" w:rsidTr="001F04A4">
        <w:trPr>
          <w:trHeight w:val="501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2078,61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10846,161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2078,61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C18B5" w:rsidRPr="009C18B5" w:rsidRDefault="009C18B5" w:rsidP="001F04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18B5" w:rsidRPr="00972A10" w:rsidTr="001F04A4">
        <w:trPr>
          <w:trHeight w:val="501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9848,069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1887,32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9848,069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1887,32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</w:tr>
      <w:tr w:rsidR="009C18B5" w:rsidRPr="00972A10" w:rsidTr="001F04A4">
        <w:trPr>
          <w:trHeight w:val="485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7654,331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1466,91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7654,331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1466,91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</w:tr>
      <w:tr w:rsidR="009C18B5" w:rsidRPr="00972A10" w:rsidTr="001F04A4">
        <w:trPr>
          <w:trHeight w:val="485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6635,903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1271,72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6635,903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1271,72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5443,432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1043,20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5443,432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1043,20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948,451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181,77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948,451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181,77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9C18B5" w:rsidRPr="00972A10" w:rsidTr="001F04A4">
        <w:trPr>
          <w:trHeight w:val="501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834,777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159,98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834,777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159,98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9C18B5" w:rsidRPr="00972A10" w:rsidTr="001F04A4">
        <w:trPr>
          <w:trHeight w:val="485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183,651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183,651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C18B5" w:rsidRPr="00972A10" w:rsidTr="001F04A4">
        <w:trPr>
          <w:trHeight w:val="485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183,651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183,651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9C18B5" w:rsidRPr="00972A10" w:rsidTr="001F04A4">
        <w:trPr>
          <w:trHeight w:val="485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2193,738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420,41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2193,738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420,41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9C18B5" w:rsidRPr="00972A10" w:rsidTr="001F04A4">
        <w:trPr>
          <w:trHeight w:val="501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547,640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104,95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547,640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104,95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C18B5" w:rsidRPr="00972A10" w:rsidTr="001F04A4">
        <w:trPr>
          <w:trHeight w:val="243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450,452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86,33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450,452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86,33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9C18B5" w:rsidRPr="00972A10" w:rsidTr="001F04A4">
        <w:trPr>
          <w:trHeight w:val="501"/>
        </w:trPr>
        <w:tc>
          <w:tcPr>
            <w:tcW w:w="680" w:type="dxa"/>
            <w:vAlign w:val="center"/>
          </w:tcPr>
          <w:p w:rsidR="009C18B5" w:rsidRPr="00972A10" w:rsidRDefault="009C18B5" w:rsidP="001F0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9C18B5" w:rsidRPr="00972A10" w:rsidRDefault="009C18B5" w:rsidP="001F04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9C18B5" w:rsidRPr="00972A10" w:rsidRDefault="009C18B5" w:rsidP="001F0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10846,161</w:t>
            </w:r>
          </w:p>
        </w:tc>
        <w:tc>
          <w:tcPr>
            <w:tcW w:w="1289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2078,61</w:t>
            </w:r>
          </w:p>
        </w:tc>
        <w:tc>
          <w:tcPr>
            <w:tcW w:w="1486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10846,161</w:t>
            </w:r>
          </w:p>
        </w:tc>
        <w:tc>
          <w:tcPr>
            <w:tcW w:w="1217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bCs/>
                <w:sz w:val="18"/>
                <w:szCs w:val="18"/>
              </w:rPr>
              <w:t>2078,61</w:t>
            </w:r>
          </w:p>
        </w:tc>
        <w:tc>
          <w:tcPr>
            <w:tcW w:w="1062" w:type="dxa"/>
            <w:vAlign w:val="center"/>
          </w:tcPr>
          <w:p w:rsidR="009C18B5" w:rsidRPr="009C18B5" w:rsidRDefault="009C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54278" w:rsidRPr="00972A10" w:rsidRDefault="00954278" w:rsidP="00954278">
      <w:pPr>
        <w:spacing w:after="0"/>
        <w:rPr>
          <w:lang w:val="uk-UA"/>
        </w:rPr>
      </w:pPr>
    </w:p>
    <w:p w:rsidR="00954278" w:rsidRPr="00972A10" w:rsidRDefault="00954278" w:rsidP="00954278">
      <w:pPr>
        <w:rPr>
          <w:lang w:val="uk-UA"/>
        </w:rPr>
      </w:pPr>
    </w:p>
    <w:p w:rsidR="00954278" w:rsidRDefault="00954278" w:rsidP="00954278">
      <w:pPr>
        <w:rPr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390135" w:rsidRDefault="00390135" w:rsidP="0095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135" w:rsidRPr="00851938" w:rsidRDefault="00390135" w:rsidP="0095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278" w:rsidRPr="002A216E" w:rsidRDefault="00954278" w:rsidP="009542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216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Таблиця 3</w:t>
      </w:r>
    </w:p>
    <w:p w:rsidR="00954278" w:rsidRDefault="00954278" w:rsidP="0095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4278" w:rsidRDefault="00954278" w:rsidP="0095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954278" w:rsidRPr="006345B1" w:rsidRDefault="00954278" w:rsidP="00954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 w:rsidR="00C314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2019-2020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рр.,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546"/>
        <w:gridCol w:w="1539"/>
        <w:gridCol w:w="1512"/>
        <w:gridCol w:w="1576"/>
        <w:gridCol w:w="1554"/>
        <w:gridCol w:w="2296"/>
      </w:tblGrid>
      <w:tr w:rsidR="00954278" w:rsidRPr="001C213C" w:rsidTr="001F04A4">
        <w:trPr>
          <w:trHeight w:val="441"/>
          <w:jc w:val="center"/>
        </w:trPr>
        <w:tc>
          <w:tcPr>
            <w:tcW w:w="3357" w:type="dxa"/>
            <w:vAlign w:val="center"/>
          </w:tcPr>
          <w:p w:rsidR="00954278" w:rsidRPr="001C213C" w:rsidRDefault="0095427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546" w:type="dxa"/>
            <w:vAlign w:val="center"/>
          </w:tcPr>
          <w:p w:rsidR="00954278" w:rsidRPr="001C213C" w:rsidRDefault="0095427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051" w:type="dxa"/>
            <w:gridSpan w:val="2"/>
            <w:vAlign w:val="center"/>
          </w:tcPr>
          <w:p w:rsidR="00954278" w:rsidRPr="001C213C" w:rsidRDefault="0095427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130" w:type="dxa"/>
            <w:gridSpan w:val="2"/>
          </w:tcPr>
          <w:p w:rsidR="00954278" w:rsidRPr="001C213C" w:rsidRDefault="0095427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296" w:type="dxa"/>
            <w:vAlign w:val="center"/>
          </w:tcPr>
          <w:p w:rsidR="00954278" w:rsidRPr="001C213C" w:rsidRDefault="0095427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C31439" w:rsidRPr="001C213C" w:rsidTr="001F04A4">
        <w:trPr>
          <w:trHeight w:val="746"/>
          <w:jc w:val="center"/>
        </w:trPr>
        <w:tc>
          <w:tcPr>
            <w:tcW w:w="3357" w:type="dxa"/>
            <w:vAlign w:val="center"/>
          </w:tcPr>
          <w:p w:rsidR="00C31439" w:rsidRPr="001C213C" w:rsidRDefault="00C31439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546" w:type="dxa"/>
            <w:vAlign w:val="center"/>
          </w:tcPr>
          <w:p w:rsidR="00C31439" w:rsidRPr="001C213C" w:rsidRDefault="00C31439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</w:p>
        </w:tc>
        <w:tc>
          <w:tcPr>
            <w:tcW w:w="3051" w:type="dxa"/>
            <w:gridSpan w:val="2"/>
            <w:vAlign w:val="center"/>
          </w:tcPr>
          <w:p w:rsidR="00C31439" w:rsidRPr="00534338" w:rsidRDefault="00C31439" w:rsidP="007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5,604</w:t>
            </w:r>
          </w:p>
        </w:tc>
        <w:tc>
          <w:tcPr>
            <w:tcW w:w="3130" w:type="dxa"/>
            <w:gridSpan w:val="2"/>
            <w:vAlign w:val="center"/>
          </w:tcPr>
          <w:p w:rsidR="00C31439" w:rsidRPr="00534338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5,218</w:t>
            </w:r>
          </w:p>
        </w:tc>
        <w:tc>
          <w:tcPr>
            <w:tcW w:w="2296" w:type="dxa"/>
            <w:vAlign w:val="center"/>
          </w:tcPr>
          <w:p w:rsidR="00C31439" w:rsidRPr="00534338" w:rsidRDefault="00C31439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- 0,</w:t>
            </w:r>
            <w:r w:rsidR="00534338" w:rsidRPr="00534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</w:tr>
      <w:tr w:rsidR="00534338" w:rsidRPr="001C213C" w:rsidTr="00747786">
        <w:trPr>
          <w:trHeight w:val="214"/>
          <w:jc w:val="center"/>
        </w:trPr>
        <w:tc>
          <w:tcPr>
            <w:tcW w:w="3357" w:type="dxa"/>
            <w:vAlign w:val="center"/>
          </w:tcPr>
          <w:p w:rsidR="00534338" w:rsidRPr="001C213C" w:rsidRDefault="00534338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546" w:type="dxa"/>
            <w:vAlign w:val="center"/>
          </w:tcPr>
          <w:p w:rsidR="00534338" w:rsidRPr="001C213C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051" w:type="dxa"/>
            <w:gridSpan w:val="2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12190,507</w:t>
            </w:r>
          </w:p>
        </w:tc>
        <w:tc>
          <w:tcPr>
            <w:tcW w:w="3130" w:type="dxa"/>
            <w:gridSpan w:val="2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10846,161</w:t>
            </w:r>
          </w:p>
        </w:tc>
        <w:tc>
          <w:tcPr>
            <w:tcW w:w="2296" w:type="dxa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-1344,35</w:t>
            </w:r>
          </w:p>
        </w:tc>
      </w:tr>
      <w:tr w:rsidR="00534338" w:rsidRPr="001C213C" w:rsidTr="00747786">
        <w:trPr>
          <w:trHeight w:val="488"/>
          <w:jc w:val="center"/>
        </w:trPr>
        <w:tc>
          <w:tcPr>
            <w:tcW w:w="3357" w:type="dxa"/>
            <w:vAlign w:val="center"/>
          </w:tcPr>
          <w:p w:rsidR="00534338" w:rsidRPr="001C213C" w:rsidRDefault="00534338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546" w:type="dxa"/>
            <w:vAlign w:val="center"/>
          </w:tcPr>
          <w:p w:rsidR="00534338" w:rsidRPr="001C213C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грн./Гкал</w:t>
            </w:r>
          </w:p>
        </w:tc>
        <w:tc>
          <w:tcPr>
            <w:tcW w:w="3051" w:type="dxa"/>
            <w:gridSpan w:val="2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2175,32</w:t>
            </w:r>
          </w:p>
        </w:tc>
        <w:tc>
          <w:tcPr>
            <w:tcW w:w="3130" w:type="dxa"/>
            <w:gridSpan w:val="2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2078,61</w:t>
            </w:r>
          </w:p>
        </w:tc>
        <w:tc>
          <w:tcPr>
            <w:tcW w:w="2296" w:type="dxa"/>
            <w:vAlign w:val="bottom"/>
          </w:tcPr>
          <w:p w:rsidR="00534338" w:rsidRPr="00534338" w:rsidRDefault="00534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</w:rPr>
              <w:t>-96,71</w:t>
            </w:r>
          </w:p>
        </w:tc>
      </w:tr>
      <w:tr w:rsidR="00534338" w:rsidRPr="001C213C" w:rsidTr="001F04A4">
        <w:trPr>
          <w:trHeight w:val="337"/>
          <w:jc w:val="center"/>
        </w:trPr>
        <w:tc>
          <w:tcPr>
            <w:tcW w:w="4903" w:type="dxa"/>
            <w:gridSpan w:val="2"/>
            <w:vAlign w:val="center"/>
          </w:tcPr>
          <w:p w:rsidR="00534338" w:rsidRPr="001C213C" w:rsidRDefault="00534338" w:rsidP="001F04A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39" w:type="dxa"/>
            <w:vAlign w:val="center"/>
          </w:tcPr>
          <w:p w:rsidR="00534338" w:rsidRPr="00534338" w:rsidRDefault="00534338" w:rsidP="007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</w:p>
        </w:tc>
        <w:tc>
          <w:tcPr>
            <w:tcW w:w="1512" w:type="dxa"/>
            <w:vAlign w:val="center"/>
          </w:tcPr>
          <w:p w:rsidR="00534338" w:rsidRPr="00534338" w:rsidRDefault="00534338" w:rsidP="007C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  <w:tc>
          <w:tcPr>
            <w:tcW w:w="1576" w:type="dxa"/>
            <w:vAlign w:val="center"/>
          </w:tcPr>
          <w:p w:rsidR="00534338" w:rsidRPr="00534338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</w:p>
        </w:tc>
        <w:tc>
          <w:tcPr>
            <w:tcW w:w="1554" w:type="dxa"/>
            <w:vAlign w:val="center"/>
          </w:tcPr>
          <w:p w:rsidR="00534338" w:rsidRPr="00534338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  <w:tc>
          <w:tcPr>
            <w:tcW w:w="2296" w:type="dxa"/>
            <w:vAlign w:val="center"/>
          </w:tcPr>
          <w:p w:rsidR="00534338" w:rsidRPr="00534338" w:rsidRDefault="00534338" w:rsidP="001F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</w:tr>
      <w:tr w:rsidR="00AD2CDF" w:rsidRPr="001C213C" w:rsidTr="00CF5926">
        <w:trPr>
          <w:trHeight w:val="246"/>
          <w:jc w:val="center"/>
        </w:trPr>
        <w:tc>
          <w:tcPr>
            <w:tcW w:w="4903" w:type="dxa"/>
            <w:gridSpan w:val="2"/>
            <w:vAlign w:val="center"/>
          </w:tcPr>
          <w:p w:rsidR="00AD2CDF" w:rsidRPr="002266AA" w:rsidRDefault="00AD2CDF" w:rsidP="001F0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8028,158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1432,58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6635,903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1271,73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-160,84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2266AA" w:rsidRDefault="00AD2CDF" w:rsidP="001F0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6654,837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1187,52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5443,432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1043,20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-144,31</w:t>
            </w:r>
          </w:p>
        </w:tc>
      </w:tr>
      <w:tr w:rsidR="00AD2CDF" w:rsidRPr="001C213C" w:rsidTr="00CF5926">
        <w:trPr>
          <w:trHeight w:val="183"/>
          <w:jc w:val="center"/>
        </w:trPr>
        <w:tc>
          <w:tcPr>
            <w:tcW w:w="4903" w:type="dxa"/>
            <w:gridSpan w:val="2"/>
            <w:vAlign w:val="center"/>
          </w:tcPr>
          <w:p w:rsidR="00AD2CDF" w:rsidRPr="002266AA" w:rsidRDefault="00AD2CDF" w:rsidP="001F0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1159,773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948,451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181,77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-25,19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2266AA" w:rsidRDefault="00AD2CDF" w:rsidP="001F0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208,041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238,513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2266AA" w:rsidRDefault="00AD2CDF" w:rsidP="001F0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1C213C" w:rsidRDefault="00AD2CDF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743,591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132,69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834,777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159,98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B32747" w:rsidRDefault="00AD2CDF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163,59</w:t>
            </w:r>
            <w:r w:rsidR="0024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183,651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1C213C" w:rsidRDefault="00AD2CDF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2340,194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417,59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2193,738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420,42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AD2CDF" w:rsidRPr="001C213C" w:rsidTr="00CF5926">
        <w:trPr>
          <w:trHeight w:val="229"/>
          <w:jc w:val="center"/>
        </w:trPr>
        <w:tc>
          <w:tcPr>
            <w:tcW w:w="4903" w:type="dxa"/>
            <w:gridSpan w:val="2"/>
            <w:vAlign w:val="center"/>
          </w:tcPr>
          <w:p w:rsidR="00AD2CDF" w:rsidRPr="001C213C" w:rsidRDefault="00AD2CDF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513,707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547,640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104,95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</w:tr>
      <w:tr w:rsidR="00AD2CDF" w:rsidRPr="001C213C" w:rsidTr="00CF5926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AD2CDF" w:rsidRPr="001C213C" w:rsidRDefault="00AD2CDF" w:rsidP="001F0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539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401,267</w:t>
            </w:r>
          </w:p>
        </w:tc>
        <w:tc>
          <w:tcPr>
            <w:tcW w:w="1512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1576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450,452</w:t>
            </w:r>
          </w:p>
        </w:tc>
        <w:tc>
          <w:tcPr>
            <w:tcW w:w="1554" w:type="dxa"/>
            <w:vAlign w:val="bottom"/>
          </w:tcPr>
          <w:p w:rsidR="00AD2CDF" w:rsidRPr="00534338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86,33</w:t>
            </w:r>
          </w:p>
        </w:tc>
        <w:tc>
          <w:tcPr>
            <w:tcW w:w="2296" w:type="dxa"/>
            <w:vAlign w:val="bottom"/>
          </w:tcPr>
          <w:p w:rsidR="00AD2CDF" w:rsidRPr="00AD2CDF" w:rsidRDefault="00AD2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AD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</w:tr>
    </w:tbl>
    <w:p w:rsidR="00954278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Із таблиці 3 видно, що в розрахунку планових вит</w:t>
      </w:r>
      <w:r w:rsidR="008F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 на опалювальний період  2019-2020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</w:t>
      </w:r>
      <w:r w:rsidR="00C31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теплової енергії  складає 5,218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тис.Гкал. для бюджетних установ. </w:t>
      </w:r>
    </w:p>
    <w:p w:rsidR="00954278" w:rsidRPr="00CE31DC" w:rsidRDefault="00954278" w:rsidP="00897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загальновиробничих 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питомих витрат палива, теплово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електричної енергії на 2019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02.04.2019 року Луганською обласною державною адміністрацією</w:t>
      </w:r>
      <w:r w:rsidR="008973E1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норми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3E1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корисного відпуску теплової енергії, палива та 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</w:t>
      </w:r>
      <w:r w:rsidR="008973E1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приведені до фактичних</w:t>
      </w:r>
      <w:r w:rsidR="008F5CD6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973E1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відповідно зменшились</w:t>
      </w:r>
      <w:r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73E1" w:rsidRP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1</w:t>
      </w:r>
      <w:r w:rsidR="00897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0846,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97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тис.грн., що на 1344,35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с.грн. або на 11,0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менше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- 12190,507 тис. грн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теплопостачання складає 2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078,61 грн/Гкал. При зменшенні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загальних планових витрат відбулось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планової собівартості на 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96,71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грн/Гкал, проти соб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діючих тарифах –2175,32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грн/Гкал.</w:t>
      </w:r>
    </w:p>
    <w:p w:rsidR="00954278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B1079D">
        <w:rPr>
          <w:rFonts w:ascii="Times New Roman" w:hAnsi="Times New Roman" w:cs="Times New Roman"/>
          <w:bCs/>
          <w:sz w:val="28"/>
          <w:szCs w:val="28"/>
        </w:rPr>
        <w:t xml:space="preserve"> 6635,303</w:t>
      </w:r>
      <w:r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 та зменшились  на  160,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грн./Гкал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2,0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</w:t>
      </w:r>
      <w:r w:rsidR="00B10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хованими в діючих тарифах –8028,158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B1079D" w:rsidRDefault="00B1079D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Pr="00E75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8A7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E75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аливо»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</w:t>
      </w:r>
      <w:r w:rsidR="001D3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5443,432 тис. грн. та зменшилися на 144,31 грн./Гкал або на 2,2% у порівняні з витрата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 діючих тарифах – 6654,837 тис. грн..</w:t>
      </w:r>
    </w:p>
    <w:p w:rsidR="001D3F50" w:rsidRDefault="001D3F50" w:rsidP="001D3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Pr="00E75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електроенергія</w:t>
      </w:r>
      <w:r w:rsidRPr="00E759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948,451 тис. грн. та зменшилися на 25,19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грн./Гкал або на 2,2% у порівняні з витрата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ахованими в діючих тарифах – 1159,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B4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</w:t>
      </w:r>
    </w:p>
    <w:p w:rsidR="00954278" w:rsidRDefault="00B1079D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меншення</w:t>
      </w:r>
      <w:r w:rsidR="00954278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прямих матеріальних витрат відбулося за 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ціни на природний газ та</w:t>
      </w:r>
      <w:r w:rsidR="00954278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електроенергію</w:t>
      </w:r>
      <w:r w:rsidR="00925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зменшення загальновиробничих норм на ці складові витрат.</w:t>
      </w:r>
    </w:p>
    <w:p w:rsidR="00925189" w:rsidRPr="00D0770B" w:rsidRDefault="0092518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водопостачання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9251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«каналізація»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збільшилися за рахунок збільшення ціни на них.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 на оплату праці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розрахунку планових витрат склала </w:t>
      </w:r>
      <w:r w:rsidR="00243FEE">
        <w:rPr>
          <w:rFonts w:ascii="Times New Roman" w:hAnsi="Times New Roman" w:cs="Times New Roman"/>
          <w:bCs/>
          <w:sz w:val="28"/>
          <w:szCs w:val="28"/>
        </w:rPr>
        <w:t>834,777</w:t>
      </w:r>
      <w:r w:rsidR="00243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3,7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</w:t>
      </w:r>
      <w:r w:rsidR="00243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–743,591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розрахунку планових витрат склала</w:t>
      </w:r>
      <w:r w:rsidR="00243FEE">
        <w:rPr>
          <w:rFonts w:ascii="Times New Roman" w:hAnsi="Times New Roman" w:cs="Times New Roman"/>
          <w:bCs/>
          <w:sz w:val="28"/>
          <w:szCs w:val="28"/>
        </w:rPr>
        <w:t xml:space="preserve"> 183,651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3,7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</w:t>
      </w:r>
      <w:r w:rsidR="00243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–163,590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склали </w:t>
      </w:r>
      <w:r w:rsidR="00CE31DC">
        <w:rPr>
          <w:rFonts w:ascii="Times New Roman" w:hAnsi="Times New Roman" w:cs="Times New Roman"/>
          <w:bCs/>
          <w:sz w:val="28"/>
          <w:szCs w:val="28"/>
        </w:rPr>
        <w:t>2193,738</w:t>
      </w:r>
      <w:r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або 0,1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ахованими в діючих тарифах –2340,194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CE31DC">
        <w:rPr>
          <w:rFonts w:ascii="Times New Roman" w:hAnsi="Times New Roman" w:cs="Times New Roman"/>
          <w:bCs/>
          <w:sz w:val="28"/>
          <w:szCs w:val="28"/>
        </w:rPr>
        <w:t>547,640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2,3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CE31DC" w:rsidRPr="00D0770B">
        <w:rPr>
          <w:rFonts w:ascii="Times New Roman" w:hAnsi="Times New Roman" w:cs="Times New Roman"/>
          <w:bCs/>
          <w:sz w:val="28"/>
          <w:szCs w:val="28"/>
        </w:rPr>
        <w:t>513,107</w:t>
      </w:r>
      <w:r w:rsidR="00CE31DC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954278" w:rsidRPr="00D0770B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 збуту послуг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CE31DC">
        <w:rPr>
          <w:rFonts w:ascii="Times New Roman" w:hAnsi="Times New Roman" w:cs="Times New Roman"/>
          <w:bCs/>
          <w:sz w:val="28"/>
          <w:szCs w:val="28"/>
        </w:rPr>
        <w:t>450,452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3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,7 % </w:t>
      </w:r>
      <w:r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</w:t>
      </w:r>
      <w:r w:rsidR="00CE3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–401,267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926D47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аналізу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>планових витрат</w:t>
      </w:r>
      <w:r w:rsidR="00344B93">
        <w:rPr>
          <w:rFonts w:ascii="Times New Roman" w:hAnsi="Times New Roman" w:cs="Times New Roman"/>
          <w:sz w:val="28"/>
          <w:szCs w:val="28"/>
          <w:lang w:val="uk-UA"/>
        </w:rPr>
        <w:t xml:space="preserve"> на опалювальний період 2019-2020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рр.,  у порівнянні з витратами врахованими в діючих тарифах всі прямі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</w:t>
      </w:r>
      <w:r w:rsidRPr="00C9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адміністративні</w:t>
      </w:r>
      <w:r w:rsidRPr="00C9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витрати із збуту теплової енергії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 збільшилися.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4278" w:rsidRPr="00535BC8" w:rsidRDefault="00926D47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Тариф на послуги з централізованого опалення та гарячого водопостачання КП «Сватове-тепло» в останнє переглядався та був затверджений рішенням Виконавчого коміте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Сватівської міської ради № 81 від 9 листопада 2018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0B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770B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тарифів на житлово-комунальні послуги».</w:t>
      </w: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«Сватове-тепло»                                                                          В.І. Данильченко </w:t>
      </w: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Default="00954278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                        О.Л. Яковенко</w:t>
      </w:r>
    </w:p>
    <w:p w:rsidR="00954278" w:rsidRDefault="00954278" w:rsidP="009542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Pr="00C44A33" w:rsidRDefault="00954278" w:rsidP="0095427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Економіст                                                                                                             Н.В. Савченко</w:t>
      </w:r>
    </w:p>
    <w:p w:rsidR="00C44A33" w:rsidRPr="00954278" w:rsidRDefault="00C44A33" w:rsidP="00954278">
      <w:pPr>
        <w:rPr>
          <w:szCs w:val="28"/>
          <w:lang w:val="uk-UA"/>
        </w:rPr>
      </w:pPr>
    </w:p>
    <w:sectPr w:rsidR="00C44A33" w:rsidRPr="00954278" w:rsidSect="00CD6819"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F3" w:rsidRDefault="003914F3" w:rsidP="00CD6819">
      <w:pPr>
        <w:spacing w:after="0" w:line="240" w:lineRule="auto"/>
      </w:pPr>
      <w:r>
        <w:separator/>
      </w:r>
    </w:p>
  </w:endnote>
  <w:endnote w:type="continuationSeparator" w:id="0">
    <w:p w:rsidR="003914F3" w:rsidRDefault="003914F3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F3" w:rsidRDefault="003914F3" w:rsidP="00CD6819">
      <w:pPr>
        <w:spacing w:after="0" w:line="240" w:lineRule="auto"/>
      </w:pPr>
      <w:r>
        <w:separator/>
      </w:r>
    </w:p>
  </w:footnote>
  <w:footnote w:type="continuationSeparator" w:id="0">
    <w:p w:rsidR="003914F3" w:rsidRDefault="003914F3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3"/>
    <w:rsid w:val="0000246C"/>
    <w:rsid w:val="00004520"/>
    <w:rsid w:val="00032BF7"/>
    <w:rsid w:val="00054750"/>
    <w:rsid w:val="00060C9C"/>
    <w:rsid w:val="00071BFB"/>
    <w:rsid w:val="00081CB7"/>
    <w:rsid w:val="00093A75"/>
    <w:rsid w:val="0009647C"/>
    <w:rsid w:val="000B1E8F"/>
    <w:rsid w:val="000D27B9"/>
    <w:rsid w:val="000E1449"/>
    <w:rsid w:val="000E2A5B"/>
    <w:rsid w:val="000E4E9A"/>
    <w:rsid w:val="000F7590"/>
    <w:rsid w:val="00112658"/>
    <w:rsid w:val="00121635"/>
    <w:rsid w:val="00122E82"/>
    <w:rsid w:val="00123961"/>
    <w:rsid w:val="001267B3"/>
    <w:rsid w:val="001314EA"/>
    <w:rsid w:val="00135439"/>
    <w:rsid w:val="0015706E"/>
    <w:rsid w:val="00166D45"/>
    <w:rsid w:val="00174732"/>
    <w:rsid w:val="00174F08"/>
    <w:rsid w:val="00185C8C"/>
    <w:rsid w:val="00187797"/>
    <w:rsid w:val="00193330"/>
    <w:rsid w:val="001A126C"/>
    <w:rsid w:val="001B6A03"/>
    <w:rsid w:val="001D3F50"/>
    <w:rsid w:val="001F4409"/>
    <w:rsid w:val="002048A2"/>
    <w:rsid w:val="002135E2"/>
    <w:rsid w:val="0021498C"/>
    <w:rsid w:val="0021536E"/>
    <w:rsid w:val="002266AA"/>
    <w:rsid w:val="00236F65"/>
    <w:rsid w:val="00243FEE"/>
    <w:rsid w:val="00251197"/>
    <w:rsid w:val="00266D51"/>
    <w:rsid w:val="00285C42"/>
    <w:rsid w:val="00291C1E"/>
    <w:rsid w:val="002924E5"/>
    <w:rsid w:val="002955F6"/>
    <w:rsid w:val="0029725A"/>
    <w:rsid w:val="002A216E"/>
    <w:rsid w:val="002B4DDB"/>
    <w:rsid w:val="002B58AF"/>
    <w:rsid w:val="002C4242"/>
    <w:rsid w:val="002C5421"/>
    <w:rsid w:val="002D7A07"/>
    <w:rsid w:val="002E768B"/>
    <w:rsid w:val="002F33BD"/>
    <w:rsid w:val="00304C3B"/>
    <w:rsid w:val="00305951"/>
    <w:rsid w:val="00307C2C"/>
    <w:rsid w:val="003230AE"/>
    <w:rsid w:val="00324C0D"/>
    <w:rsid w:val="0034382F"/>
    <w:rsid w:val="00344B93"/>
    <w:rsid w:val="00344CAE"/>
    <w:rsid w:val="00354907"/>
    <w:rsid w:val="0036337C"/>
    <w:rsid w:val="00374C07"/>
    <w:rsid w:val="003827AF"/>
    <w:rsid w:val="00390135"/>
    <w:rsid w:val="003914F3"/>
    <w:rsid w:val="0039498D"/>
    <w:rsid w:val="0039555B"/>
    <w:rsid w:val="00397D06"/>
    <w:rsid w:val="003A1069"/>
    <w:rsid w:val="003A63FD"/>
    <w:rsid w:val="003B2B5B"/>
    <w:rsid w:val="003B71A7"/>
    <w:rsid w:val="003C6B99"/>
    <w:rsid w:val="003C7699"/>
    <w:rsid w:val="003D0D18"/>
    <w:rsid w:val="003D1086"/>
    <w:rsid w:val="003E140E"/>
    <w:rsid w:val="003E2A4E"/>
    <w:rsid w:val="003E39E8"/>
    <w:rsid w:val="003F0B5F"/>
    <w:rsid w:val="003F22F2"/>
    <w:rsid w:val="00402684"/>
    <w:rsid w:val="004033C0"/>
    <w:rsid w:val="00407BAC"/>
    <w:rsid w:val="0041151A"/>
    <w:rsid w:val="00425489"/>
    <w:rsid w:val="00425ECA"/>
    <w:rsid w:val="0044630E"/>
    <w:rsid w:val="00455095"/>
    <w:rsid w:val="00460FAB"/>
    <w:rsid w:val="0046111F"/>
    <w:rsid w:val="00466FB6"/>
    <w:rsid w:val="00476BBD"/>
    <w:rsid w:val="00477C09"/>
    <w:rsid w:val="00493F34"/>
    <w:rsid w:val="00497DF3"/>
    <w:rsid w:val="004B2ED3"/>
    <w:rsid w:val="004C66BB"/>
    <w:rsid w:val="004E1617"/>
    <w:rsid w:val="004E68BF"/>
    <w:rsid w:val="004F4EFD"/>
    <w:rsid w:val="005017ED"/>
    <w:rsid w:val="00503EB8"/>
    <w:rsid w:val="00524149"/>
    <w:rsid w:val="00534338"/>
    <w:rsid w:val="00535BC8"/>
    <w:rsid w:val="00540ED0"/>
    <w:rsid w:val="00544D7B"/>
    <w:rsid w:val="005452DB"/>
    <w:rsid w:val="005559ED"/>
    <w:rsid w:val="005603D6"/>
    <w:rsid w:val="00582091"/>
    <w:rsid w:val="00595584"/>
    <w:rsid w:val="005A791B"/>
    <w:rsid w:val="005B185D"/>
    <w:rsid w:val="005B723D"/>
    <w:rsid w:val="005C22D9"/>
    <w:rsid w:val="005C5E04"/>
    <w:rsid w:val="005D3A3F"/>
    <w:rsid w:val="005D3F10"/>
    <w:rsid w:val="005D47B6"/>
    <w:rsid w:val="005E15BE"/>
    <w:rsid w:val="005E1F85"/>
    <w:rsid w:val="005F39CD"/>
    <w:rsid w:val="005F6CE0"/>
    <w:rsid w:val="00616D2C"/>
    <w:rsid w:val="00625BE1"/>
    <w:rsid w:val="006278B8"/>
    <w:rsid w:val="00641B11"/>
    <w:rsid w:val="0065157A"/>
    <w:rsid w:val="00660FF3"/>
    <w:rsid w:val="00663DA4"/>
    <w:rsid w:val="00673B43"/>
    <w:rsid w:val="006764B7"/>
    <w:rsid w:val="006768A0"/>
    <w:rsid w:val="006802F3"/>
    <w:rsid w:val="00680ABD"/>
    <w:rsid w:val="00686B6B"/>
    <w:rsid w:val="00690FF4"/>
    <w:rsid w:val="00696526"/>
    <w:rsid w:val="006A05C6"/>
    <w:rsid w:val="006A6642"/>
    <w:rsid w:val="006B0366"/>
    <w:rsid w:val="006B1DB2"/>
    <w:rsid w:val="006B2998"/>
    <w:rsid w:val="006C140D"/>
    <w:rsid w:val="006C456C"/>
    <w:rsid w:val="006C4B5A"/>
    <w:rsid w:val="006C76B1"/>
    <w:rsid w:val="006D456B"/>
    <w:rsid w:val="006E1C74"/>
    <w:rsid w:val="006F007A"/>
    <w:rsid w:val="006F6A1D"/>
    <w:rsid w:val="006F7499"/>
    <w:rsid w:val="007035E0"/>
    <w:rsid w:val="00711139"/>
    <w:rsid w:val="0071477E"/>
    <w:rsid w:val="0072632E"/>
    <w:rsid w:val="00732802"/>
    <w:rsid w:val="007329D2"/>
    <w:rsid w:val="00733DF3"/>
    <w:rsid w:val="00741F86"/>
    <w:rsid w:val="00750741"/>
    <w:rsid w:val="00754F09"/>
    <w:rsid w:val="007579B0"/>
    <w:rsid w:val="007657F0"/>
    <w:rsid w:val="00765E54"/>
    <w:rsid w:val="00780BEE"/>
    <w:rsid w:val="00786115"/>
    <w:rsid w:val="007915CC"/>
    <w:rsid w:val="0079504F"/>
    <w:rsid w:val="007A205B"/>
    <w:rsid w:val="007A4F55"/>
    <w:rsid w:val="007A6E98"/>
    <w:rsid w:val="007A76EE"/>
    <w:rsid w:val="007B6BE5"/>
    <w:rsid w:val="007C09A2"/>
    <w:rsid w:val="007C6447"/>
    <w:rsid w:val="007D51DB"/>
    <w:rsid w:val="007D5764"/>
    <w:rsid w:val="007F0E2F"/>
    <w:rsid w:val="008000B1"/>
    <w:rsid w:val="00802641"/>
    <w:rsid w:val="008204AB"/>
    <w:rsid w:val="00824E84"/>
    <w:rsid w:val="00825570"/>
    <w:rsid w:val="00833529"/>
    <w:rsid w:val="00851938"/>
    <w:rsid w:val="008775DF"/>
    <w:rsid w:val="00884F86"/>
    <w:rsid w:val="008973E1"/>
    <w:rsid w:val="008A1E34"/>
    <w:rsid w:val="008A7724"/>
    <w:rsid w:val="008B4884"/>
    <w:rsid w:val="008C5975"/>
    <w:rsid w:val="008F191A"/>
    <w:rsid w:val="008F5CD6"/>
    <w:rsid w:val="008F7EC2"/>
    <w:rsid w:val="00901061"/>
    <w:rsid w:val="00902CCB"/>
    <w:rsid w:val="00916243"/>
    <w:rsid w:val="00921F75"/>
    <w:rsid w:val="00925189"/>
    <w:rsid w:val="00926D47"/>
    <w:rsid w:val="009505FB"/>
    <w:rsid w:val="00954278"/>
    <w:rsid w:val="00965041"/>
    <w:rsid w:val="00972261"/>
    <w:rsid w:val="00972A10"/>
    <w:rsid w:val="00972CA6"/>
    <w:rsid w:val="00986ED7"/>
    <w:rsid w:val="009A012D"/>
    <w:rsid w:val="009A156D"/>
    <w:rsid w:val="009C18B5"/>
    <w:rsid w:val="009D6030"/>
    <w:rsid w:val="009E4118"/>
    <w:rsid w:val="009E7F4F"/>
    <w:rsid w:val="00A30D31"/>
    <w:rsid w:val="00A372A3"/>
    <w:rsid w:val="00A51FAB"/>
    <w:rsid w:val="00A5225A"/>
    <w:rsid w:val="00A62081"/>
    <w:rsid w:val="00A64D61"/>
    <w:rsid w:val="00A675FF"/>
    <w:rsid w:val="00A70759"/>
    <w:rsid w:val="00A9213D"/>
    <w:rsid w:val="00A923DA"/>
    <w:rsid w:val="00A950A8"/>
    <w:rsid w:val="00AB5730"/>
    <w:rsid w:val="00AC5213"/>
    <w:rsid w:val="00AC578E"/>
    <w:rsid w:val="00AD2CDF"/>
    <w:rsid w:val="00AD75F6"/>
    <w:rsid w:val="00AF0CF1"/>
    <w:rsid w:val="00AF4E07"/>
    <w:rsid w:val="00B02B5E"/>
    <w:rsid w:val="00B1079D"/>
    <w:rsid w:val="00B11999"/>
    <w:rsid w:val="00B21005"/>
    <w:rsid w:val="00B32747"/>
    <w:rsid w:val="00B40DB1"/>
    <w:rsid w:val="00B46514"/>
    <w:rsid w:val="00B51873"/>
    <w:rsid w:val="00B56E54"/>
    <w:rsid w:val="00B83A3F"/>
    <w:rsid w:val="00B8488A"/>
    <w:rsid w:val="00B8661A"/>
    <w:rsid w:val="00B9087B"/>
    <w:rsid w:val="00B92EC7"/>
    <w:rsid w:val="00BA4AE9"/>
    <w:rsid w:val="00BA4F6F"/>
    <w:rsid w:val="00BB64F9"/>
    <w:rsid w:val="00BD7B78"/>
    <w:rsid w:val="00C07497"/>
    <w:rsid w:val="00C1728A"/>
    <w:rsid w:val="00C22B4E"/>
    <w:rsid w:val="00C31439"/>
    <w:rsid w:val="00C31D00"/>
    <w:rsid w:val="00C33307"/>
    <w:rsid w:val="00C41107"/>
    <w:rsid w:val="00C42371"/>
    <w:rsid w:val="00C4367F"/>
    <w:rsid w:val="00C44A33"/>
    <w:rsid w:val="00C54F64"/>
    <w:rsid w:val="00C62B04"/>
    <w:rsid w:val="00C97EE5"/>
    <w:rsid w:val="00CA5435"/>
    <w:rsid w:val="00CD3E9D"/>
    <w:rsid w:val="00CD6819"/>
    <w:rsid w:val="00CE01EB"/>
    <w:rsid w:val="00CE108C"/>
    <w:rsid w:val="00CE31DC"/>
    <w:rsid w:val="00CF2DCD"/>
    <w:rsid w:val="00CF3717"/>
    <w:rsid w:val="00D03873"/>
    <w:rsid w:val="00D03A95"/>
    <w:rsid w:val="00D073D6"/>
    <w:rsid w:val="00D0770B"/>
    <w:rsid w:val="00D208CD"/>
    <w:rsid w:val="00D20ED9"/>
    <w:rsid w:val="00D30169"/>
    <w:rsid w:val="00D30566"/>
    <w:rsid w:val="00D61E06"/>
    <w:rsid w:val="00D77C04"/>
    <w:rsid w:val="00D84135"/>
    <w:rsid w:val="00D91BFF"/>
    <w:rsid w:val="00D952BE"/>
    <w:rsid w:val="00DB4C18"/>
    <w:rsid w:val="00DB6FA0"/>
    <w:rsid w:val="00DC39E8"/>
    <w:rsid w:val="00DC4093"/>
    <w:rsid w:val="00DD5B7A"/>
    <w:rsid w:val="00DE03D9"/>
    <w:rsid w:val="00DE3A43"/>
    <w:rsid w:val="00DE444D"/>
    <w:rsid w:val="00DF4B71"/>
    <w:rsid w:val="00DF5904"/>
    <w:rsid w:val="00DF7081"/>
    <w:rsid w:val="00E0312C"/>
    <w:rsid w:val="00E204B0"/>
    <w:rsid w:val="00E20C45"/>
    <w:rsid w:val="00E219FC"/>
    <w:rsid w:val="00E44FE8"/>
    <w:rsid w:val="00E5060A"/>
    <w:rsid w:val="00E63005"/>
    <w:rsid w:val="00E7213E"/>
    <w:rsid w:val="00E721ED"/>
    <w:rsid w:val="00E75927"/>
    <w:rsid w:val="00E76331"/>
    <w:rsid w:val="00E766DD"/>
    <w:rsid w:val="00E879B8"/>
    <w:rsid w:val="00E87C25"/>
    <w:rsid w:val="00E927C7"/>
    <w:rsid w:val="00EC3280"/>
    <w:rsid w:val="00EC401B"/>
    <w:rsid w:val="00EC6833"/>
    <w:rsid w:val="00ED4474"/>
    <w:rsid w:val="00ED4A96"/>
    <w:rsid w:val="00ED7BB0"/>
    <w:rsid w:val="00EE008A"/>
    <w:rsid w:val="00EE7E72"/>
    <w:rsid w:val="00F01806"/>
    <w:rsid w:val="00F019EE"/>
    <w:rsid w:val="00F02A3C"/>
    <w:rsid w:val="00F02AF6"/>
    <w:rsid w:val="00F10DEE"/>
    <w:rsid w:val="00F1342B"/>
    <w:rsid w:val="00F13FC1"/>
    <w:rsid w:val="00F3483D"/>
    <w:rsid w:val="00F439D2"/>
    <w:rsid w:val="00F52077"/>
    <w:rsid w:val="00F543B8"/>
    <w:rsid w:val="00F772CD"/>
    <w:rsid w:val="00F80AFF"/>
    <w:rsid w:val="00F87F9A"/>
    <w:rsid w:val="00FA52C3"/>
    <w:rsid w:val="00FB41B0"/>
    <w:rsid w:val="00FB508F"/>
    <w:rsid w:val="00FC4D96"/>
    <w:rsid w:val="00FD1606"/>
    <w:rsid w:val="00FD680D"/>
    <w:rsid w:val="00FE3A15"/>
    <w:rsid w:val="00FF499E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1FB1-C222-4DDE-9223-F985209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BA11-9E40-4261-83B5-4C4145E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Lunev</cp:lastModifiedBy>
  <cp:revision>2</cp:revision>
  <cp:lastPrinted>2019-10-15T11:59:00Z</cp:lastPrinted>
  <dcterms:created xsi:type="dcterms:W3CDTF">2019-10-15T12:30:00Z</dcterms:created>
  <dcterms:modified xsi:type="dcterms:W3CDTF">2019-10-15T12:30:00Z</dcterms:modified>
</cp:coreProperties>
</file>